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408BA1" w14:textId="44A332EE" w:rsidR="006F4619" w:rsidRPr="00787AA0" w:rsidRDefault="006F4619" w:rsidP="005504C2">
      <w:pPr>
        <w:pStyle w:val="Caption"/>
        <w:keepNext/>
        <w:rPr>
          <w:rFonts w:ascii="Times New Roman" w:hAnsi="Times New Roman" w:cs="Times New Roman"/>
          <w:b/>
          <w:bCs/>
          <w:i w:val="0"/>
          <w:iCs w:val="0"/>
          <w:sz w:val="28"/>
          <w:szCs w:val="28"/>
          <w:u w:val="single"/>
          <w:lang w:val="en-GB"/>
        </w:rPr>
      </w:pPr>
      <w:r w:rsidRPr="00787AA0">
        <w:rPr>
          <w:rFonts w:ascii="Times New Roman" w:hAnsi="Times New Roman" w:cs="Times New Roman"/>
          <w:b/>
          <w:bCs/>
          <w:i w:val="0"/>
          <w:iCs w:val="0"/>
          <w:sz w:val="28"/>
          <w:szCs w:val="28"/>
          <w:u w:val="single"/>
          <w:lang w:val="en-GB"/>
        </w:rPr>
        <w:t xml:space="preserve">Supplementary </w:t>
      </w:r>
      <w:r w:rsidR="00BF2E7E">
        <w:rPr>
          <w:rFonts w:ascii="Times New Roman" w:hAnsi="Times New Roman" w:cs="Times New Roman"/>
          <w:b/>
          <w:bCs/>
          <w:i w:val="0"/>
          <w:iCs w:val="0"/>
          <w:sz w:val="28"/>
          <w:szCs w:val="28"/>
          <w:u w:val="single"/>
          <w:lang w:val="en-GB"/>
        </w:rPr>
        <w:t>Material</w:t>
      </w:r>
      <w:r w:rsidRPr="00787AA0">
        <w:rPr>
          <w:rFonts w:ascii="Times New Roman" w:hAnsi="Times New Roman" w:cs="Times New Roman"/>
          <w:b/>
          <w:bCs/>
          <w:i w:val="0"/>
          <w:iCs w:val="0"/>
          <w:sz w:val="28"/>
          <w:szCs w:val="28"/>
          <w:u w:val="single"/>
          <w:lang w:val="en-GB"/>
        </w:rPr>
        <w:t xml:space="preserve"> </w:t>
      </w:r>
      <w:r w:rsidR="00097A26" w:rsidRPr="00787AA0">
        <w:rPr>
          <w:rFonts w:ascii="Times New Roman" w:hAnsi="Times New Roman" w:cs="Times New Roman"/>
          <w:b/>
          <w:bCs/>
          <w:i w:val="0"/>
          <w:iCs w:val="0"/>
          <w:sz w:val="28"/>
          <w:szCs w:val="28"/>
          <w:u w:val="single"/>
          <w:lang w:val="en-GB"/>
        </w:rPr>
        <w:t>to</w:t>
      </w:r>
    </w:p>
    <w:p w14:paraId="33655B49" w14:textId="1F5AB2C9" w:rsidR="00AB3E8B" w:rsidRDefault="00AB3E8B" w:rsidP="005504C2">
      <w:pPr>
        <w:pStyle w:val="Caption"/>
        <w:keepNext/>
        <w:rPr>
          <w:rFonts w:ascii="Times New Roman" w:eastAsiaTheme="majorEastAsia" w:hAnsi="Times New Roman" w:cs="Times New Roman"/>
          <w:color w:val="auto"/>
          <w:sz w:val="32"/>
          <w:szCs w:val="32"/>
          <w:lang w:val="en-GB"/>
        </w:rPr>
      </w:pPr>
      <w:r w:rsidRPr="00AB3E8B">
        <w:rPr>
          <w:rFonts w:ascii="Times New Roman" w:eastAsiaTheme="majorEastAsia" w:hAnsi="Times New Roman" w:cs="Times New Roman"/>
          <w:color w:val="auto"/>
          <w:sz w:val="32"/>
          <w:szCs w:val="32"/>
          <w:lang w:val="en-GB"/>
        </w:rPr>
        <w:t>Economic crises as critical junctures for policy and structural changes towards decarbonisatio</w:t>
      </w:r>
      <w:r w:rsidR="000D04EF">
        <w:rPr>
          <w:rFonts w:ascii="Times New Roman" w:eastAsiaTheme="majorEastAsia" w:hAnsi="Times New Roman" w:cs="Times New Roman"/>
          <w:color w:val="auto"/>
          <w:sz w:val="32"/>
          <w:szCs w:val="32"/>
          <w:lang w:val="en-GB"/>
        </w:rPr>
        <w:t xml:space="preserve">n - </w:t>
      </w:r>
      <w:r w:rsidRPr="00AB3E8B">
        <w:rPr>
          <w:rFonts w:ascii="Times New Roman" w:eastAsiaTheme="majorEastAsia" w:hAnsi="Times New Roman" w:cs="Times New Roman"/>
          <w:color w:val="auto"/>
          <w:sz w:val="32"/>
          <w:szCs w:val="32"/>
          <w:lang w:val="en-GB"/>
        </w:rPr>
        <w:t xml:space="preserve">The cases of Spain and Germany </w:t>
      </w:r>
    </w:p>
    <w:p w14:paraId="4A30A5D7" w14:textId="3DCF1FE9" w:rsidR="004B3779" w:rsidRPr="00D22D3F" w:rsidRDefault="004B3779" w:rsidP="005504C2">
      <w:pPr>
        <w:pStyle w:val="Caption"/>
        <w:keepNext/>
        <w:rPr>
          <w:rFonts w:ascii="Times New Roman" w:hAnsi="Times New Roman" w:cs="Times New Roman"/>
          <w:b/>
          <w:bCs/>
          <w:i w:val="0"/>
          <w:iCs w:val="0"/>
          <w:color w:val="auto"/>
          <w:sz w:val="22"/>
          <w:szCs w:val="22"/>
          <w:lang w:val="en-GB"/>
        </w:rPr>
      </w:pPr>
      <w:r w:rsidRPr="00D22D3F">
        <w:rPr>
          <w:rFonts w:ascii="Times New Roman" w:hAnsi="Times New Roman" w:cs="Times New Roman"/>
          <w:color w:val="auto"/>
          <w:sz w:val="22"/>
          <w:szCs w:val="22"/>
          <w:lang w:val="en-US"/>
        </w:rPr>
        <w:t>Germán Bersalli, Tim Tröndl</w:t>
      </w:r>
      <w:r w:rsidRPr="00D22D3F">
        <w:rPr>
          <w:rFonts w:ascii="Times New Roman" w:hAnsi="Times New Roman" w:cs="Times New Roman"/>
          <w:color w:val="auto"/>
          <w:sz w:val="22"/>
          <w:szCs w:val="22"/>
          <w:lang w:val="en-US"/>
        </w:rPr>
        <w:t>e</w:t>
      </w:r>
      <w:r w:rsidRPr="00D22D3F">
        <w:rPr>
          <w:rFonts w:ascii="Times New Roman" w:hAnsi="Times New Roman" w:cs="Times New Roman"/>
          <w:color w:val="auto"/>
          <w:sz w:val="22"/>
          <w:szCs w:val="22"/>
          <w:lang w:val="en-US"/>
        </w:rPr>
        <w:t>, Leon Heckmann, Johan Lilliestam</w:t>
      </w:r>
    </w:p>
    <w:p w14:paraId="713B2285" w14:textId="77777777" w:rsidR="004B3779" w:rsidRDefault="004B3779" w:rsidP="005504C2">
      <w:pPr>
        <w:pStyle w:val="Caption"/>
        <w:keepNext/>
        <w:rPr>
          <w:rFonts w:ascii="Times New Roman" w:hAnsi="Times New Roman" w:cs="Times New Roman"/>
          <w:b/>
          <w:bCs/>
          <w:i w:val="0"/>
          <w:iCs w:val="0"/>
          <w:sz w:val="28"/>
          <w:szCs w:val="28"/>
          <w:lang w:val="en-GB"/>
        </w:rPr>
      </w:pPr>
    </w:p>
    <w:p w14:paraId="18C147A3" w14:textId="3D19358E" w:rsidR="005504C2" w:rsidRPr="00FB58CB" w:rsidRDefault="00157F1A" w:rsidP="005504C2">
      <w:pPr>
        <w:pStyle w:val="Caption"/>
        <w:keepNext/>
        <w:rPr>
          <w:rFonts w:ascii="Times New Roman" w:hAnsi="Times New Roman" w:cs="Times New Roman"/>
          <w:b/>
          <w:bCs/>
          <w:i w:val="0"/>
          <w:iCs w:val="0"/>
          <w:sz w:val="28"/>
          <w:szCs w:val="28"/>
          <w:lang w:val="en-GB"/>
        </w:rPr>
      </w:pPr>
      <w:r>
        <w:rPr>
          <w:rFonts w:ascii="Times New Roman" w:hAnsi="Times New Roman" w:cs="Times New Roman"/>
          <w:b/>
          <w:bCs/>
          <w:i w:val="0"/>
          <w:iCs w:val="0"/>
          <w:sz w:val="28"/>
          <w:szCs w:val="28"/>
          <w:lang w:val="en-GB"/>
        </w:rPr>
        <w:t>Note</w:t>
      </w:r>
      <w:r w:rsidR="006F4619" w:rsidRPr="00FB58CB">
        <w:rPr>
          <w:rFonts w:ascii="Times New Roman" w:hAnsi="Times New Roman" w:cs="Times New Roman"/>
          <w:b/>
          <w:bCs/>
          <w:i w:val="0"/>
          <w:iCs w:val="0"/>
          <w:sz w:val="28"/>
          <w:szCs w:val="28"/>
          <w:lang w:val="en-GB"/>
        </w:rPr>
        <w:t xml:space="preserve"> 1</w:t>
      </w:r>
      <w:r w:rsidR="00FB58CB" w:rsidRPr="00FB58CB">
        <w:rPr>
          <w:rFonts w:ascii="Times New Roman" w:hAnsi="Times New Roman" w:cs="Times New Roman"/>
          <w:b/>
          <w:bCs/>
          <w:i w:val="0"/>
          <w:iCs w:val="0"/>
          <w:sz w:val="28"/>
          <w:szCs w:val="28"/>
          <w:lang w:val="en-GB"/>
        </w:rPr>
        <w:t xml:space="preserve">: Research background </w:t>
      </w:r>
    </w:p>
    <w:p w14:paraId="598F32CE" w14:textId="56051A5B" w:rsidR="00FB58CB" w:rsidRDefault="0023571A" w:rsidP="004B2F49">
      <w:pPr>
        <w:spacing w:line="360" w:lineRule="auto"/>
        <w:jc w:val="both"/>
        <w:rPr>
          <w:rFonts w:ascii="Times New Roman" w:hAnsi="Times New Roman" w:cs="Times New Roman"/>
          <w:b/>
          <w:bCs/>
          <w:sz w:val="24"/>
          <w:szCs w:val="24"/>
          <w:lang w:val="en-US"/>
        </w:rPr>
      </w:pPr>
      <w:r w:rsidRPr="00294BA8">
        <w:rPr>
          <w:rFonts w:ascii="Times New Roman" w:hAnsi="Times New Roman" w:cs="Times New Roman"/>
          <w:lang w:val="en-GB"/>
        </w:rPr>
        <w:t xml:space="preserve">Crises can impact transitions to a </w:t>
      </w:r>
      <w:r>
        <w:rPr>
          <w:rFonts w:ascii="Times New Roman" w:hAnsi="Times New Roman" w:cs="Times New Roman"/>
          <w:lang w:val="en-GB"/>
        </w:rPr>
        <w:t>zero-</w:t>
      </w:r>
      <w:r w:rsidRPr="00294BA8">
        <w:rPr>
          <w:rFonts w:ascii="Times New Roman" w:hAnsi="Times New Roman" w:cs="Times New Roman"/>
          <w:lang w:val="en-GB"/>
        </w:rPr>
        <w:t xml:space="preserve">carbon economy in several ways, including changes in the economic and technological drivers of </w:t>
      </w:r>
      <w:r>
        <w:rPr>
          <w:rFonts w:ascii="Times New Roman" w:hAnsi="Times New Roman" w:cs="Times New Roman"/>
          <w:lang w:val="en-GB"/>
        </w:rPr>
        <w:t>GHG</w:t>
      </w:r>
      <w:r w:rsidRPr="00294BA8">
        <w:rPr>
          <w:rFonts w:ascii="Times New Roman" w:hAnsi="Times New Roman" w:cs="Times New Roman"/>
          <w:lang w:val="en-GB"/>
        </w:rPr>
        <w:t xml:space="preserve"> emissions</w:t>
      </w:r>
      <w:r>
        <w:rPr>
          <w:rFonts w:ascii="Times New Roman" w:hAnsi="Times New Roman" w:cs="Times New Roman"/>
          <w:lang w:val="en-GB"/>
        </w:rPr>
        <w:t xml:space="preserve"> (1)</w:t>
      </w:r>
      <w:r w:rsidRPr="00294BA8">
        <w:rPr>
          <w:rFonts w:ascii="Times New Roman" w:hAnsi="Times New Roman" w:cs="Times New Roman"/>
          <w:lang w:val="en-GB"/>
        </w:rPr>
        <w:t xml:space="preserve"> and changes in climate and energy policies </w:t>
      </w:r>
      <w:r>
        <w:rPr>
          <w:rFonts w:ascii="Times New Roman" w:hAnsi="Times New Roman" w:cs="Times New Roman"/>
          <w:lang w:val="en-GB"/>
        </w:rPr>
        <w:t>in the wake of</w:t>
      </w:r>
      <w:r w:rsidRPr="00294BA8">
        <w:rPr>
          <w:rFonts w:ascii="Times New Roman" w:hAnsi="Times New Roman" w:cs="Times New Roman"/>
          <w:lang w:val="en-GB"/>
        </w:rPr>
        <w:t xml:space="preserve"> the crises</w:t>
      </w:r>
      <w:r>
        <w:rPr>
          <w:rFonts w:ascii="Times New Roman" w:hAnsi="Times New Roman" w:cs="Times New Roman"/>
          <w:lang w:val="en-GB"/>
        </w:rPr>
        <w:t xml:space="preserve"> (2)</w:t>
      </w:r>
      <w:r w:rsidRPr="00294BA8">
        <w:rPr>
          <w:rFonts w:ascii="Times New Roman" w:hAnsi="Times New Roman" w:cs="Times New Roman"/>
          <w:lang w:val="en-GB"/>
        </w:rPr>
        <w:t xml:space="preserve">. </w:t>
      </w:r>
      <w:r>
        <w:rPr>
          <w:rFonts w:ascii="Times New Roman" w:hAnsi="Times New Roman" w:cs="Times New Roman"/>
          <w:lang w:val="en-GB"/>
        </w:rPr>
        <w:t>T</w:t>
      </w:r>
      <w:r>
        <w:rPr>
          <w:rFonts w:ascii="Times New Roman" w:hAnsi="Times New Roman" w:cs="Times New Roman"/>
          <w:lang w:val="en-US"/>
        </w:rPr>
        <w:t xml:space="preserve">he </w:t>
      </w:r>
      <w:r w:rsidRPr="0068752C">
        <w:rPr>
          <w:rFonts w:ascii="Times New Roman" w:hAnsi="Times New Roman" w:cs="Times New Roman"/>
          <w:lang w:val="en-US"/>
        </w:rPr>
        <w:t>existing literature analyzes either the economic</w:t>
      </w:r>
      <w:r>
        <w:rPr>
          <w:rFonts w:ascii="Times New Roman" w:hAnsi="Times New Roman" w:cs="Times New Roman"/>
          <w:lang w:val="en-US"/>
        </w:rPr>
        <w:t xml:space="preserve"> </w:t>
      </w:r>
      <w:r>
        <w:rPr>
          <w:rFonts w:ascii="Times New Roman" w:hAnsi="Times New Roman" w:cs="Times New Roman"/>
          <w:lang w:val="en-US"/>
        </w:rPr>
        <w:fldChar w:fldCharType="begin">
          <w:fldData xml:space="preserve">PEVuZE5vdGU+PENpdGU+PEF1dGhvcj5DYW5zaW5vPC9BdXRob3I+PFllYXI+MjAxNTwvWWVhcj48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</w:fldData>
        </w:fldChar>
      </w:r>
      <w:r w:rsidR="00010AD3">
        <w:rPr>
          <w:rFonts w:ascii="Times New Roman" w:hAnsi="Times New Roman" w:cs="Times New Roman"/>
          <w:lang w:val="en-US"/>
        </w:rPr>
        <w:instrText xml:space="preserve"> ADDIN EN.CITE </w:instrText>
      </w:r>
      <w:r w:rsidR="00010AD3">
        <w:rPr>
          <w:rFonts w:ascii="Times New Roman" w:hAnsi="Times New Roman" w:cs="Times New Roman"/>
          <w:lang w:val="en-US"/>
        </w:rPr>
        <w:fldChar w:fldCharType="begin">
          <w:fldData xml:space="preserve">PEVuZE5vdGU+PENpdGU+PEF1dGhvcj5DYW5zaW5vPC9BdXRob3I+PFllYXI+MjAxNTwvWWVhcj48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</w:fldData>
        </w:fldChar>
      </w:r>
      <w:r w:rsidR="00010AD3">
        <w:rPr>
          <w:rFonts w:ascii="Times New Roman" w:hAnsi="Times New Roman" w:cs="Times New Roman"/>
          <w:lang w:val="en-US"/>
        </w:rPr>
        <w:instrText xml:space="preserve"> ADDIN EN.CITE.DATA </w:instrText>
      </w:r>
      <w:r w:rsidR="00010AD3">
        <w:rPr>
          <w:rFonts w:ascii="Times New Roman" w:hAnsi="Times New Roman" w:cs="Times New Roman"/>
          <w:lang w:val="en-US"/>
        </w:rPr>
      </w:r>
      <w:r w:rsidR="00010AD3">
        <w:rPr>
          <w:rFonts w:ascii="Times New Roman" w:hAnsi="Times New Roman" w:cs="Times New Roman"/>
          <w:lang w:val="en-US"/>
        </w:rPr>
        <w:fldChar w:fldCharType="end"/>
      </w:r>
      <w:r>
        <w:rPr>
          <w:rFonts w:ascii="Times New Roman" w:hAnsi="Times New Roman" w:cs="Times New Roman"/>
          <w:lang w:val="en-US"/>
        </w:rPr>
      </w:r>
      <w:r>
        <w:rPr>
          <w:rFonts w:ascii="Times New Roman" w:hAnsi="Times New Roman" w:cs="Times New Roman"/>
          <w:lang w:val="en-US"/>
        </w:rPr>
        <w:fldChar w:fldCharType="separate"/>
      </w:r>
      <w:r w:rsidR="00010AD3">
        <w:rPr>
          <w:rFonts w:ascii="Times New Roman" w:hAnsi="Times New Roman" w:cs="Times New Roman"/>
          <w:noProof/>
          <w:lang w:val="en-US"/>
        </w:rPr>
        <w:t>(Cansino et al., 2016; Cansino et al., 2015; Kopidou &amp; Diakoulaki, 2017; Li et al., 2021; Mendiluce &amp; Schipper, 2011; O’Mahony &amp; Dufour, 2015; Shammugam et al., 2022; Sobrino &amp; Monzon, 2014)</w:t>
      </w:r>
      <w:r>
        <w:rPr>
          <w:rFonts w:ascii="Times New Roman" w:hAnsi="Times New Roman" w:cs="Times New Roman"/>
          <w:lang w:val="en-US"/>
        </w:rPr>
        <w:fldChar w:fldCharType="end"/>
      </w:r>
      <w:r w:rsidRPr="0068752C">
        <w:rPr>
          <w:rFonts w:ascii="Times New Roman" w:hAnsi="Times New Roman" w:cs="Times New Roman"/>
          <w:lang w:val="en-US"/>
        </w:rPr>
        <w:t xml:space="preserve"> or the pol</w:t>
      </w:r>
      <w:r>
        <w:rPr>
          <w:rFonts w:ascii="Times New Roman" w:hAnsi="Times New Roman" w:cs="Times New Roman"/>
          <w:lang w:val="en-US"/>
        </w:rPr>
        <w:t xml:space="preserve">icy </w:t>
      </w:r>
      <w:r>
        <w:rPr>
          <w:rFonts w:ascii="Times New Roman" w:hAnsi="Times New Roman" w:cs="Times New Roman"/>
          <w:lang w:val="en-US"/>
        </w:rPr>
        <w:fldChar w:fldCharType="begin">
          <w:fldData xml:space="preserve">PEVuZE5vdGU+PENpdGU+PEF1dGhvcj5Db3JmZWUtTW9ybG90PC9BdXRob3I+PFllYXI+MjAyMTwv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</w:fldData>
        </w:fldChar>
      </w:r>
      <w:r w:rsidR="00010AD3">
        <w:rPr>
          <w:rFonts w:ascii="Times New Roman" w:hAnsi="Times New Roman" w:cs="Times New Roman"/>
          <w:lang w:val="en-US"/>
        </w:rPr>
        <w:instrText xml:space="preserve"> ADDIN EN.CITE </w:instrText>
      </w:r>
      <w:r w:rsidR="00010AD3">
        <w:rPr>
          <w:rFonts w:ascii="Times New Roman" w:hAnsi="Times New Roman" w:cs="Times New Roman"/>
          <w:lang w:val="en-US"/>
        </w:rPr>
        <w:fldChar w:fldCharType="begin">
          <w:fldData xml:space="preserve">PEVuZE5vdGU+PENpdGU+PEF1dGhvcj5Db3JmZWUtTW9ybG90PC9BdXRob3I+PFllYXI+MjAyMTwv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</w:fldData>
        </w:fldChar>
      </w:r>
      <w:r w:rsidR="00010AD3">
        <w:rPr>
          <w:rFonts w:ascii="Times New Roman" w:hAnsi="Times New Roman" w:cs="Times New Roman"/>
          <w:lang w:val="en-US"/>
        </w:rPr>
        <w:instrText xml:space="preserve"> ADDIN EN.CITE.DATA </w:instrText>
      </w:r>
      <w:r w:rsidR="00010AD3">
        <w:rPr>
          <w:rFonts w:ascii="Times New Roman" w:hAnsi="Times New Roman" w:cs="Times New Roman"/>
          <w:lang w:val="en-US"/>
        </w:rPr>
      </w:r>
      <w:r w:rsidR="00010AD3">
        <w:rPr>
          <w:rFonts w:ascii="Times New Roman" w:hAnsi="Times New Roman" w:cs="Times New Roman"/>
          <w:lang w:val="en-US"/>
        </w:rPr>
        <w:fldChar w:fldCharType="end"/>
      </w:r>
      <w:r>
        <w:rPr>
          <w:rFonts w:ascii="Times New Roman" w:hAnsi="Times New Roman" w:cs="Times New Roman"/>
          <w:lang w:val="en-US"/>
        </w:rPr>
      </w:r>
      <w:r>
        <w:rPr>
          <w:rFonts w:ascii="Times New Roman" w:hAnsi="Times New Roman" w:cs="Times New Roman"/>
          <w:lang w:val="en-US"/>
        </w:rPr>
        <w:fldChar w:fldCharType="separate"/>
      </w:r>
      <w:r w:rsidR="00010AD3">
        <w:rPr>
          <w:rFonts w:ascii="Times New Roman" w:hAnsi="Times New Roman" w:cs="Times New Roman"/>
          <w:noProof/>
          <w:lang w:val="en-US"/>
        </w:rPr>
        <w:t>(Agrawala et al., 2020; Corfee-Morlot et al., 2021; Dupont et al., 2020; Geels et al., 2022; Hepburn et al., 2020)</w:t>
      </w:r>
      <w:r>
        <w:rPr>
          <w:rFonts w:ascii="Times New Roman" w:hAnsi="Times New Roman" w:cs="Times New Roman"/>
          <w:lang w:val="en-US"/>
        </w:rPr>
        <w:fldChar w:fldCharType="end"/>
      </w:r>
      <w:r w:rsidRPr="0068752C">
        <w:rPr>
          <w:rFonts w:ascii="Times New Roman" w:hAnsi="Times New Roman" w:cs="Times New Roman"/>
          <w:lang w:val="en-US"/>
        </w:rPr>
        <w:t xml:space="preserve"> impacts of cris</w:t>
      </w:r>
      <w:r>
        <w:rPr>
          <w:rFonts w:ascii="Times New Roman" w:hAnsi="Times New Roman" w:cs="Times New Roman"/>
          <w:lang w:val="en-US"/>
        </w:rPr>
        <w:t>e</w:t>
      </w:r>
      <w:r w:rsidRPr="0068752C">
        <w:rPr>
          <w:rFonts w:ascii="Times New Roman" w:hAnsi="Times New Roman" w:cs="Times New Roman"/>
          <w:lang w:val="en-US"/>
        </w:rPr>
        <w:t xml:space="preserve">s, with little empirical work </w:t>
      </w:r>
      <w:r>
        <w:rPr>
          <w:rFonts w:ascii="Times New Roman" w:hAnsi="Times New Roman" w:cs="Times New Roman"/>
          <w:lang w:val="en-US"/>
        </w:rPr>
        <w:t>integrating</w:t>
      </w:r>
      <w:r w:rsidRPr="0068752C">
        <w:rPr>
          <w:rFonts w:ascii="Times New Roman" w:hAnsi="Times New Roman" w:cs="Times New Roman"/>
          <w:lang w:val="en-US"/>
        </w:rPr>
        <w:t xml:space="preserve"> the two dimensions</w:t>
      </w:r>
      <w:r>
        <w:rPr>
          <w:rFonts w:ascii="Times New Roman" w:hAnsi="Times New Roman" w:cs="Times New Roman"/>
          <w:lang w:val="en-US"/>
        </w:rPr>
        <w:t xml:space="preserve">. Table S1 bellow provides a summary of previous articles investigating the case of Germany and Spain, highlighting the key differences with this paper. </w:t>
      </w:r>
    </w:p>
    <w:p w14:paraId="185DD020" w14:textId="277F556D" w:rsidR="00FB58CB" w:rsidRPr="0023571A" w:rsidRDefault="00FB58CB" w:rsidP="0023571A">
      <w:pPr>
        <w:pStyle w:val="ListParagraph"/>
        <w:numPr>
          <w:ilvl w:val="0"/>
          <w:numId w:val="2"/>
        </w:numPr>
        <w:rPr>
          <w:lang w:val="en-GB"/>
        </w:rPr>
      </w:pPr>
      <w:r w:rsidRPr="0023571A">
        <w:rPr>
          <w:rFonts w:ascii="Times New Roman" w:hAnsi="Times New Roman" w:cs="Times New Roman"/>
          <w:b/>
          <w:bCs/>
          <w:sz w:val="24"/>
          <w:szCs w:val="24"/>
          <w:lang w:val="en-US"/>
        </w:rPr>
        <w:t>Changes on emissions drivers - Decomposition Analysis</w:t>
      </w:r>
    </w:p>
    <w:p w14:paraId="1BF67230" w14:textId="73DAC89F" w:rsidR="006F4619" w:rsidRPr="00473490" w:rsidRDefault="006F4619" w:rsidP="006F4619">
      <w:pPr>
        <w:spacing w:line="360" w:lineRule="auto"/>
        <w:jc w:val="both"/>
        <w:rPr>
          <w:rFonts w:ascii="Times New Roman" w:hAnsi="Times New Roman" w:cs="Times New Roman"/>
          <w:lang w:val="en-GB"/>
        </w:rPr>
      </w:pPr>
      <w:bookmarkStart w:id="0" w:name="_Hlk115967831"/>
      <w:r w:rsidRPr="00EB3F22">
        <w:rPr>
          <w:rFonts w:ascii="Times New Roman" w:hAnsi="Times New Roman" w:cs="Times New Roman"/>
          <w:lang w:val="en-GB"/>
        </w:rPr>
        <w:t>Decomposition</w:t>
      </w:r>
      <w:r>
        <w:rPr>
          <w:rFonts w:ascii="Times New Roman" w:hAnsi="Times New Roman" w:cs="Times New Roman"/>
          <w:lang w:val="en-GB"/>
        </w:rPr>
        <w:t xml:space="preserve"> Analyses (DA)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&lt;EndNote&gt;&lt;Cite&gt;&lt;Author&gt;Ang&lt;/Author&gt;&lt;Year&gt;2005&lt;/Year&gt;&lt;RecNum&gt;201&lt;/RecNum&gt;&lt;DisplayText&gt;(Ang, 2005)&lt;/DisplayText&gt;&lt;record&gt;&lt;rec-number&gt;201&lt;/rec-number&gt;&lt;foreign-keys&gt;&lt;key app="EN" db-id="zap5wezzop9xpwe0awepz55lfafptea5pr2w" timestamp="1601382521"&gt;201&lt;/key&gt;&lt;/foreign-keys&gt;&lt;ref-type name="Journal Article"&gt;17&lt;/ref-type&gt;&lt;contributors&gt;&lt;authors&gt;&lt;author&gt;Ang, Beng W&lt;/author&gt;&lt;/authors&gt;&lt;/contributors&gt;&lt;titles&gt;&lt;title&gt;The LMDI approach to decomposition analysis: a practical guide&lt;/title&gt;&lt;secondary-title&gt;Energy policy&lt;/secondary-title&gt;&lt;/titles&gt;&lt;periodical&gt;&lt;full-title&gt;Energy Policy&lt;/full-title&gt;&lt;abbr-1&gt;Energy Policy&lt;/abbr-1&gt;&lt;/periodical&gt;&lt;pages&gt;867-871&lt;/pages&gt;&lt;volume&gt;33&lt;/volume&gt;&lt;number&gt;7&lt;/number&gt;&lt;dates&gt;&lt;year&gt;2005&lt;/year&gt;&lt;/dates&gt;&lt;isbn&gt;0301-4215&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(Ang, 2005)</w:t>
      </w:r>
      <w:r>
        <w:rPr>
          <w:rFonts w:ascii="Times New Roman" w:hAnsi="Times New Roman" w:cs="Times New Roman"/>
          <w:lang w:val="en-GB"/>
        </w:rPr>
        <w:fldChar w:fldCharType="end"/>
      </w:r>
      <w:r>
        <w:rPr>
          <w:rFonts w:ascii="Times New Roman" w:hAnsi="Times New Roman" w:cs="Times New Roman"/>
          <w:lang w:val="en-GB"/>
        </w:rPr>
        <w:t xml:space="preserve"> </w:t>
      </w:r>
      <w:r w:rsidRPr="00EB3F22">
        <w:rPr>
          <w:rFonts w:ascii="Times New Roman" w:hAnsi="Times New Roman" w:cs="Times New Roman"/>
          <w:lang w:val="en-GB"/>
        </w:rPr>
        <w:t xml:space="preserve"> has been applied to investigate the main factors contributing to</w:t>
      </w:r>
      <w:r>
        <w:rPr>
          <w:rFonts w:ascii="Times New Roman" w:hAnsi="Times New Roman" w:cs="Times New Roman"/>
          <w:lang w:val="en-GB"/>
        </w:rPr>
        <w:t xml:space="preserve"> changes in </w:t>
      </w:r>
      <w:r w:rsidRPr="00EB3F22">
        <w:rPr>
          <w:rFonts w:ascii="Times New Roman" w:hAnsi="Times New Roman" w:cs="Times New Roman"/>
          <w:lang w:val="en-GB"/>
        </w:rPr>
        <w:t>energy consumption</w:t>
      </w:r>
      <w:r>
        <w:rPr>
          <w:rFonts w:ascii="Times New Roman" w:hAnsi="Times New Roman" w:cs="Times New Roman"/>
          <w:lang w:val="en-GB"/>
        </w:rPr>
        <w:t xml:space="preserve"> and</w:t>
      </w:r>
      <w:r w:rsidRPr="00EB3F22">
        <w:rPr>
          <w:rFonts w:ascii="Times New Roman" w:hAnsi="Times New Roman" w:cs="Times New Roman"/>
          <w:lang w:val="en-GB"/>
        </w:rPr>
        <w:t xml:space="preserve"> CO</w:t>
      </w:r>
      <w:r w:rsidRPr="00EB3F22">
        <w:rPr>
          <w:rFonts w:ascii="Times New Roman" w:hAnsi="Times New Roman" w:cs="Times New Roman"/>
          <w:vertAlign w:val="subscript"/>
          <w:lang w:val="en-GB"/>
        </w:rPr>
        <w:t>2</w:t>
      </w:r>
      <w:r w:rsidRPr="00EB3F22">
        <w:rPr>
          <w:rFonts w:ascii="Times New Roman" w:hAnsi="Times New Roman" w:cs="Times New Roman"/>
          <w:lang w:val="en-GB"/>
        </w:rPr>
        <w:t xml:space="preserve"> emissions </w:t>
      </w:r>
      <w:r>
        <w:rPr>
          <w:rFonts w:ascii="Times New Roman" w:hAnsi="Times New Roman" w:cs="Times New Roman"/>
          <w:lang w:val="en-GB"/>
        </w:rPr>
        <w:t>at country level</w:t>
      </w:r>
      <w:r w:rsidRPr="00EB3F22">
        <w:rPr>
          <w:rFonts w:ascii="Times New Roman" w:hAnsi="Times New Roman" w:cs="Times New Roman"/>
          <w:lang w:val="en-GB"/>
        </w:rPr>
        <w:t xml:space="preserve"> </w:t>
      </w:r>
      <w:r w:rsidRPr="00EB3F22">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&lt;EndNote&gt;&lt;Cite&gt;&lt;Author&gt;Andreoni&lt;/Author&gt;&lt;Year&gt;2012&lt;/Year&gt;&lt;RecNum&gt;198&lt;/RecNum&gt;&lt;DisplayText&gt;(Andreoni &amp;amp; Galmarini, 2012; Lamb et al., 2021)&lt;/DisplayText&gt;&lt;record&gt;&lt;rec-number&gt;198&lt;/rec-number&gt;&lt;foreign-keys&gt;&lt;key app="EN" db-id="zap5wezzop9xpwe0awepz55lfafptea5pr2w" timestamp="1601382378"&gt;198&lt;/key&gt;&lt;/foreign-keys&gt;&lt;ref-type name="Journal Article"&gt;17&lt;/ref-type&gt;&lt;contributors&gt;&lt;authors&gt;&lt;author&gt;Andreoni, Valeria&lt;/author&gt;&lt;author&gt;Galmarini, Stefano&lt;/author&gt;&lt;/authors&gt;&lt;/contributors&gt;&lt;titles&gt;&lt;title&gt;Decoupling economic growth from carbon dioxide emissions: A decomposition analysis of Italian energy consumption&lt;/title&gt;&lt;secondary-title&gt;Energy&lt;/secondary-title&gt;&lt;/titles&gt;&lt;periodical&gt;&lt;full-title&gt;Energy&lt;/full-title&gt;&lt;/periodical&gt;&lt;pages&gt;682-691&lt;/pages&gt;&lt;volume&gt;44&lt;/volume&gt;&lt;number&gt;1&lt;/number&gt;&lt;dates&gt;&lt;year&gt;2012&lt;/year&gt;&lt;/dates&gt;&lt;isbn&gt;0360-5442&lt;/isbn&gt;&lt;urls&gt;&lt;/urls&gt;&lt;/record&gt;&lt;/Cite&gt;&lt;Cite&gt;&lt;Author&gt;Lamb&lt;/Author&gt;&lt;Year&gt;2021&lt;/Year&gt;&lt;RecNum&gt;765&lt;/RecNum&gt;&lt;record&gt;&lt;rec-number&gt;765&lt;/rec-number&gt;&lt;foreign-keys&gt;&lt;key app="EN" db-id="zap5wezzop9xpwe0awepz55lfafptea5pr2w" timestamp="1632228125"&gt;765&lt;/key&gt;&lt;/foreign-keys&gt;&lt;ref-type name="Journal Article"&gt;17&lt;/ref-type&gt;&lt;contributors&gt;&lt;authors&gt;&lt;author&gt;Lamb, William F&lt;/author&gt;&lt;author&gt;Wiedmann, Thomas&lt;/author&gt;&lt;author&gt;Pongratz, Julia&lt;/author&gt;&lt;author&gt;Andrew, Robbie&lt;/author&gt;&lt;author&gt;Crippa, Monica&lt;/author&gt;&lt;author&gt;Olivier, Jos GJ&lt;/author&gt;&lt;author&gt;Wiedenhofer, Dominik&lt;/author&gt;&lt;author&gt;Mattioli, Giulio&lt;/author&gt;&lt;author&gt;Al Khourdajie, Alaa&lt;/author&gt;&lt;author&gt;House, Joanna&lt;/author&gt;&lt;/authors&gt;&lt;/contributors&gt;&lt;titles&gt;&lt;title&gt;A review of trends and drivers of greenhouse gas emissions by sector from 1990 to 2018&lt;/title&gt;&lt;secondary-title&gt;Environmental Research Letters&lt;/secondary-title&gt;&lt;/titles&gt;&lt;periodical&gt;&lt;full-title&gt;Environmental Research Letters&lt;/full-title&gt;&lt;abbr-1&gt;Environ. Res. Lett.&lt;/abbr-1&gt;&lt;/periodical&gt;&lt;dates&gt;&lt;year&gt;2021&lt;/year&gt;&lt;/dates&gt;&lt;isbn&gt;1748-9326&lt;/isbn&gt;&lt;urls&gt;&lt;/urls&gt;&lt;/record&gt;&lt;/Cite&gt;&lt;/EndNote&gt;</w:instrText>
      </w:r>
      <w:r w:rsidRPr="00EB3F22">
        <w:rPr>
          <w:rFonts w:ascii="Times New Roman" w:hAnsi="Times New Roman" w:cs="Times New Roman"/>
          <w:lang w:val="en-GB"/>
        </w:rPr>
        <w:fldChar w:fldCharType="separate"/>
      </w:r>
      <w:r>
        <w:rPr>
          <w:rFonts w:ascii="Times New Roman" w:hAnsi="Times New Roman" w:cs="Times New Roman"/>
          <w:noProof/>
          <w:lang w:val="en-GB"/>
        </w:rPr>
        <w:t>(Andreoni &amp; Galmarini, 2012; Lamb et al., 2021)</w:t>
      </w:r>
      <w:r w:rsidRPr="00EB3F22">
        <w:rPr>
          <w:rFonts w:ascii="Times New Roman" w:hAnsi="Times New Roman" w:cs="Times New Roman"/>
          <w:lang w:val="en-GB"/>
        </w:rPr>
        <w:fldChar w:fldCharType="end"/>
      </w:r>
      <w:r>
        <w:rPr>
          <w:rFonts w:ascii="Times New Roman" w:hAnsi="Times New Roman" w:cs="Times New Roman"/>
          <w:lang w:val="en-GB"/>
        </w:rPr>
        <w:t xml:space="preserve">, or </w:t>
      </w:r>
      <w:r w:rsidRPr="00473490">
        <w:rPr>
          <w:rFonts w:ascii="Times New Roman" w:hAnsi="Times New Roman" w:cs="Times New Roman"/>
          <w:lang w:val="en-GB"/>
        </w:rPr>
        <w:t xml:space="preserve">in the power sector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&lt;EndNote&gt;&lt;Cite&gt;&lt;Author&gt;Karmellos&lt;/Author&gt;&lt;Year&gt;2016&lt;/Year&gt;&lt;RecNum&gt;808&lt;/RecNum&gt;&lt;DisplayText&gt;(Karmellos et al., 2016; Karmellos et al., 2021)&lt;/DisplayText&gt;&lt;record&gt;&lt;rec-number&gt;808&lt;/rec-number&gt;&lt;foreign-keys&gt;&lt;key app="EN" db-id="zap5wezzop9xpwe0awepz55lfafptea5pr2w" timestamp="1646763774"&gt;808&lt;/key&gt;&lt;/foreign-keys&gt;&lt;ref-type name="Journal Article"&gt;17&lt;/ref-type&gt;&lt;contributors&gt;&lt;authors&gt;&lt;author&gt;Karmellos, M&lt;/author&gt;&lt;author&gt;Kopidou, D&lt;/author&gt;&lt;author&gt;Diakoulaki, D&lt;/author&gt;&lt;/authors&gt;&lt;/contributors&gt;&lt;titles&gt;&lt;title&gt;A decomposition analysis of the driving factors of CO2 (Carbon dioxide) emissions from the power sector in the European Union countries&lt;/title&gt;&lt;secondary-title&gt;Energy&lt;/secondary-title&gt;&lt;/titles&gt;&lt;periodical&gt;&lt;full-title&gt;Energy&lt;/full-title&gt;&lt;/periodical&gt;&lt;pages&gt;680-692&lt;/pages&gt;&lt;volume&gt;94&lt;/volume&gt;&lt;dates&gt;&lt;year&gt;2016&lt;/year&gt;&lt;/dates&gt;&lt;isbn&gt;0360-5442&lt;/isbn&gt;&lt;urls&gt;&lt;/urls&gt;&lt;/record&gt;&lt;/Cite&gt;&lt;Cite&gt;&lt;Author&gt;Karmellos&lt;/Author&gt;&lt;Year&gt;2021&lt;/Year&gt;&lt;RecNum&gt;802&lt;/RecNum&gt;&lt;record&gt;&lt;rec-number&gt;802&lt;/rec-number&gt;&lt;foreign-keys&gt;&lt;key app="EN" db-id="zap5wezzop9xpwe0awepz55lfafptea5pr2w" timestamp="1646729252"&gt;802&lt;/key&gt;&lt;/foreign-keys&gt;&lt;ref-type name="Journal Article"&gt;17&lt;/ref-type&gt;&lt;contributors&gt;&lt;authors&gt;&lt;author&gt;Karmellos, M&lt;/author&gt;&lt;author&gt;Kosmadakis, V&lt;/author&gt;&lt;author&gt;Dimas, P&lt;/author&gt;&lt;author&gt;Tsakanikas, A&lt;/author&gt;&lt;author&gt;Fylaktos, N&lt;/author&gt;&lt;author&gt;Taliotis, C&lt;/author&gt;&lt;author&gt;Zachariadis, T&lt;/author&gt;&lt;/authors&gt;&lt;/contributors&gt;&lt;titles&gt;&lt;title&gt;A decomposition and decoupling analysis of carbon dioxide emissions from electricity generation: Evidence from the EU-27 and the UK&lt;/title&gt;&lt;secondary-title&gt;Energy&lt;/secondary-title&gt;&lt;/titles&gt;&lt;periodical&gt;&lt;full-title&gt;Energy&lt;/full-title&gt;&lt;/periodical&gt;&lt;pages&gt;120861&lt;/pages&gt;&lt;volume&gt;231&lt;/volume&gt;&lt;dates&gt;&lt;year&gt;2021&lt;/year&gt;&lt;/dates&gt;&lt;isbn&gt;0360-5442&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(Karmellos et al., 2016; Karmellos et al., 2021)</w:t>
      </w:r>
      <w:r>
        <w:rPr>
          <w:rFonts w:ascii="Times New Roman" w:hAnsi="Times New Roman" w:cs="Times New Roman"/>
          <w:lang w:val="en-GB"/>
        </w:rPr>
        <w:fldChar w:fldCharType="end"/>
      </w:r>
      <w:r w:rsidRPr="00473490">
        <w:rPr>
          <w:rFonts w:ascii="Times New Roman" w:hAnsi="Times New Roman" w:cs="Times New Roman"/>
          <w:lang w:val="en-GB"/>
        </w:rPr>
        <w:t xml:space="preserve">, industry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&lt;EndNote&gt;&lt;Cite&gt;&lt;Author&gt;Diakoulaki&lt;/Author&gt;&lt;Year&gt;2007&lt;/Year&gt;&lt;RecNum&gt;809&lt;/RecNum&gt;&lt;DisplayText&gt;(Diakoulaki &amp;amp; Mandaraka, 2007; Kopidou et al., 2016)&lt;/DisplayText&gt;&lt;record&gt;&lt;rec-number&gt;809&lt;/rec-number&gt;&lt;foreign-keys&gt;&lt;key app="EN" db-id="zap5wezzop9xpwe0awepz55lfafptea5pr2w" timestamp="1646764011"&gt;809&lt;/key&gt;&lt;/foreign-keys&gt;&lt;ref-type name="Journal Article"&gt;17&lt;/ref-type&gt;&lt;contributors&gt;&lt;authors&gt;&lt;author&gt;Diakoulaki, Danae&lt;/author&gt;&lt;author&gt;Mandaraka, Maria&lt;/author&gt;&lt;/authors&gt;&lt;/contributors&gt;&lt;titles&gt;&lt;title&gt;Decomposition analysis for assessing the progress in decoupling industrial growth from CO2 emissions in the EU manufacturing sector&lt;/title&gt;&lt;secondary-title&gt;Energy economics&lt;/secondary-title&gt;&lt;/titles&gt;&lt;periodical&gt;&lt;full-title&gt;Energy Economics&lt;/full-title&gt;&lt;abbr-1&gt;Energy Economics&lt;/abbr-1&gt;&lt;/periodical&gt;&lt;pages&gt;636-664&lt;/pages&gt;&lt;volume&gt;29&lt;/volume&gt;&lt;number&gt;4&lt;/number&gt;&lt;dates&gt;&lt;year&gt;2007&lt;/year&gt;&lt;/dates&gt;&lt;isbn&gt;0140-9883&lt;/isbn&gt;&lt;urls&gt;&lt;/urls&gt;&lt;/record&gt;&lt;/Cite&gt;&lt;Cite&gt;&lt;Author&gt;Kopidou&lt;/Author&gt;&lt;Year&gt;2016&lt;/Year&gt;&lt;RecNum&gt;805&lt;/RecNum&gt;&lt;record&gt;&lt;rec-number&gt;805&lt;/rec-number&gt;&lt;foreign-keys&gt;&lt;key app="EN" db-id="zap5wezzop9xpwe0awepz55lfafptea5pr2w" timestamp="1646735887"&gt;805&lt;/key&gt;&lt;/foreign-keys&gt;&lt;ref-type name="Journal Article"&gt;17&lt;/ref-type&gt;&lt;contributors&gt;&lt;authors&gt;&lt;author&gt;Kopidou, D&lt;/author&gt;&lt;author&gt;Tsakanikas, A&lt;/author&gt;&lt;author&gt;Diakoulaki, D&lt;/author&gt;&lt;/authors&gt;&lt;/contributors&gt;&lt;titles&gt;&lt;title&gt;Common trends and drivers of CO2 emissions and employment: a decomposition analysis in the industrial sector of selected European Union countries&lt;/title&gt;&lt;secondary-title&gt;Journal of Cleaner Production&lt;/secondary-title&gt;&lt;/titles&gt;&lt;periodical&gt;&lt;full-title&gt;Journal of Cleaner Production&lt;/full-title&gt;&lt;/periodical&gt;&lt;pages&gt;4159-4172&lt;/pages&gt;&lt;volume&gt;112&lt;/volume&gt;&lt;dates&gt;&lt;year&gt;2016&lt;/year&gt;&lt;/dates&gt;&lt;isbn&gt;0959-6526&lt;/isbn&gt;&lt;urls&gt;&lt;/urls&gt;&lt;/record&gt;&lt;/Cite&gt;&lt;/EndNote&gt;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(Diakoulaki &amp; Mandaraka, 2007; Kopidou et al., 2016)</w:t>
      </w:r>
      <w:r>
        <w:rPr>
          <w:rFonts w:ascii="Times New Roman" w:hAnsi="Times New Roman" w:cs="Times New Roman"/>
          <w:lang w:val="en-GB"/>
        </w:rPr>
        <w:fldChar w:fldCharType="end"/>
      </w:r>
      <w:r w:rsidRPr="00473490">
        <w:rPr>
          <w:rFonts w:ascii="Times New Roman" w:hAnsi="Times New Roman" w:cs="Times New Roman"/>
          <w:lang w:val="en-GB"/>
        </w:rPr>
        <w:t xml:space="preserve"> and the transport sector </w:t>
      </w:r>
      <w:r>
        <w:rPr>
          <w:rFonts w:ascii="Times New Roman" w:hAnsi="Times New Roman" w:cs="Times New Roman"/>
          <w:lang w:val="en-GB"/>
        </w:rPr>
        <w:fldChar w:fldCharType="begin">
          <w:fldData xml:space="preserve">PEVuZE5vdGU+PENpdGU+PEF1dGhvcj5BbmRyZW9uaTwvQXV0aG9yPjxZZWFyPjIwMTI8L1llYXI+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</w:fldData>
        </w:fldChar>
      </w:r>
      <w:r>
        <w:rPr>
          <w:rFonts w:ascii="Times New Roman" w:hAnsi="Times New Roman" w:cs="Times New Roman"/>
          <w:lang w:val="en-GB"/>
        </w:rPr>
        <w:instrText xml:space="preserve"> ADDIN EN.CITE </w:instrText>
      </w:r>
      <w:r>
        <w:rPr>
          <w:rFonts w:ascii="Times New Roman" w:hAnsi="Times New Roman" w:cs="Times New Roman"/>
          <w:lang w:val="en-GB"/>
        </w:rPr>
        <w:fldChar w:fldCharType="begin">
          <w:fldData xml:space="preserve">PEVuZE5vdGU+PENpdGU+PEF1dGhvcj5BbmRyZW9uaTwvQXV0aG9yPjxZZWFyPjIwMTI8L1llYXI+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</w:fldData>
        </w:fldChar>
      </w:r>
      <w:r>
        <w:rPr>
          <w:rFonts w:ascii="Times New Roman" w:hAnsi="Times New Roman" w:cs="Times New Roman"/>
          <w:lang w:val="en-GB"/>
        </w:rPr>
        <w:instrText xml:space="preserve"> ADDIN EN.CITE.DATA </w:instrText>
      </w:r>
      <w:r>
        <w:rPr>
          <w:rFonts w:ascii="Times New Roman" w:hAnsi="Times New Roman" w:cs="Times New Roman"/>
          <w:lang w:val="en-GB"/>
        </w:rPr>
      </w:r>
      <w:r>
        <w:rPr>
          <w:rFonts w:ascii="Times New Roman" w:hAnsi="Times New Roman" w:cs="Times New Roman"/>
          <w:lang w:val="en-GB"/>
        </w:rPr>
        <w:fldChar w:fldCharType="end"/>
      </w:r>
      <w:r>
        <w:rPr>
          <w:rFonts w:ascii="Times New Roman" w:hAnsi="Times New Roman" w:cs="Times New Roman"/>
          <w:lang w:val="en-GB"/>
        </w:rPr>
      </w:r>
      <w:r>
        <w:rPr>
          <w:rFonts w:ascii="Times New Roman" w:hAnsi="Times New Roman" w:cs="Times New Roman"/>
          <w:lang w:val="en-GB"/>
        </w:rPr>
        <w:fldChar w:fldCharType="separate"/>
      </w:r>
      <w:r>
        <w:rPr>
          <w:rFonts w:ascii="Times New Roman" w:hAnsi="Times New Roman" w:cs="Times New Roman"/>
          <w:noProof/>
          <w:lang w:val="en-GB"/>
        </w:rPr>
        <w:t>(Andreoni &amp; Galmarini, 2012; Mendiluce &amp; Schipper, 2011; Robaina &amp; Neves, 2021; Tapio et al., 2007)</w:t>
      </w:r>
      <w:r>
        <w:rPr>
          <w:rFonts w:ascii="Times New Roman" w:hAnsi="Times New Roman" w:cs="Times New Roman"/>
          <w:lang w:val="en-GB"/>
        </w:rPr>
        <w:fldChar w:fldCharType="end"/>
      </w:r>
      <w:r>
        <w:rPr>
          <w:rFonts w:ascii="Times New Roman" w:hAnsi="Times New Roman" w:cs="Times New Roman"/>
          <w:lang w:val="en-GB"/>
        </w:rPr>
        <w:t>.</w:t>
      </w:r>
      <w:r w:rsidRPr="00EB3F22">
        <w:rPr>
          <w:rFonts w:ascii="Times New Roman" w:hAnsi="Times New Roman" w:cs="Times New Roman"/>
          <w:lang w:val="en-GB"/>
        </w:rPr>
        <w:t xml:space="preserve"> Several studies have analysed EU member states, including Spain and Germany, showing that historically, economic growth (GDP per capita) has been the main driver increasing emissions while energy intensity improvement was the main driver reducing them. Carbon intensity improvements have had smaller but also positive effects on reducing emissions </w:t>
      </w:r>
      <w:r w:rsidRPr="00EB3F22">
        <w:rPr>
          <w:rFonts w:ascii="Times New Roman" w:hAnsi="Times New Roman" w:cs="Times New Roman"/>
          <w:lang w:val="en-GB"/>
        </w:rPr>
        <w:fldChar w:fldCharType="begin">
          <w:fldData xml:space="preserve">PEVuZE5vdGU+PENpdGU+PEF1dGhvcj5BbmRyZW9uaTwvQXV0aG9yPjxZZWFyPjIwMTY8L1llYXI+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==
</w:fldData>
        </w:fldChar>
      </w:r>
      <w:r>
        <w:rPr>
          <w:rFonts w:ascii="Times New Roman" w:hAnsi="Times New Roman" w:cs="Times New Roman"/>
          <w:lang w:val="en-GB"/>
        </w:rPr>
        <w:instrText xml:space="preserve"> ADDIN EN.CITE </w:instrText>
      </w:r>
      <w:r>
        <w:rPr>
          <w:rFonts w:ascii="Times New Roman" w:hAnsi="Times New Roman" w:cs="Times New Roman"/>
          <w:lang w:val="en-GB"/>
        </w:rPr>
        <w:fldChar w:fldCharType="begin">
          <w:fldData xml:space="preserve">PEVuZE5vdGU+PENpdGU+PEF1dGhvcj5BbmRyZW9uaTwvQXV0aG9yPjxZZWFyPjIwMTY8L1llYXI+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==
</w:fldData>
        </w:fldChar>
      </w:r>
      <w:r>
        <w:rPr>
          <w:rFonts w:ascii="Times New Roman" w:hAnsi="Times New Roman" w:cs="Times New Roman"/>
          <w:lang w:val="en-GB"/>
        </w:rPr>
        <w:instrText xml:space="preserve"> ADDIN EN.CITE.DATA </w:instrText>
      </w:r>
      <w:r>
        <w:rPr>
          <w:rFonts w:ascii="Times New Roman" w:hAnsi="Times New Roman" w:cs="Times New Roman"/>
          <w:lang w:val="en-GB"/>
        </w:rPr>
      </w:r>
      <w:r>
        <w:rPr>
          <w:rFonts w:ascii="Times New Roman" w:hAnsi="Times New Roman" w:cs="Times New Roman"/>
          <w:lang w:val="en-GB"/>
        </w:rPr>
        <w:fldChar w:fldCharType="end"/>
      </w:r>
      <w:r w:rsidRPr="00EB3F22">
        <w:rPr>
          <w:rFonts w:ascii="Times New Roman" w:hAnsi="Times New Roman" w:cs="Times New Roman"/>
          <w:lang w:val="en-GB"/>
        </w:rPr>
      </w:r>
      <w:r w:rsidRPr="00EB3F22">
        <w:rPr>
          <w:rFonts w:ascii="Times New Roman" w:hAnsi="Times New Roman" w:cs="Times New Roman"/>
          <w:lang w:val="en-GB"/>
        </w:rPr>
        <w:fldChar w:fldCharType="separate"/>
      </w:r>
      <w:r>
        <w:rPr>
          <w:rFonts w:ascii="Times New Roman" w:hAnsi="Times New Roman" w:cs="Times New Roman"/>
          <w:noProof/>
          <w:lang w:val="en-GB"/>
        </w:rPr>
        <w:t>(Andreoni &amp; Galmarini, 2016; Bhattacharyya &amp; Matsumura, 2010; González et al., 2014; Moutinho et al., 2015)</w:t>
      </w:r>
      <w:r w:rsidRPr="00EB3F22">
        <w:rPr>
          <w:rFonts w:ascii="Times New Roman" w:hAnsi="Times New Roman" w:cs="Times New Roman"/>
          <w:lang w:val="en-GB"/>
        </w:rPr>
        <w:fldChar w:fldCharType="end"/>
      </w:r>
      <w:r w:rsidRPr="00EB3F22">
        <w:rPr>
          <w:rFonts w:ascii="Times New Roman" w:hAnsi="Times New Roman" w:cs="Times New Roman"/>
          <w:lang w:val="en-GB"/>
        </w:rPr>
        <w:t>.</w:t>
      </w:r>
      <w:r>
        <w:rPr>
          <w:rFonts w:ascii="Times New Roman" w:hAnsi="Times New Roman" w:cs="Times New Roman"/>
          <w:lang w:val="en-GB"/>
        </w:rPr>
        <w:t xml:space="preserve"> Except a few case studies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&lt;EndNote&gt;&lt;Cite&gt;&lt;Author&gt;O&amp;apos;Mahony&lt;/Author&gt;&lt;Year&gt;2013&lt;/Year&gt;&lt;RecNum&gt;801&lt;/RecNum&gt;&lt;DisplayText&gt;(O&amp;apos;Mahony, 2013; Roinioti &amp;amp; Koroneos, 2017)&lt;/DisplayText&gt;&lt;record&gt;&lt;rec-number&gt;801&lt;/rec-number&gt;&lt;foreign-keys&gt;&lt;key app="EN" db-id="zap5wezzop9xpwe0awepz55lfafptea5pr2w" timestamp="1646578352"&gt;801&lt;/key&gt;&lt;/foreign-keys&gt;&lt;ref-type name="Journal Article"&gt;17&lt;/ref-type&gt;&lt;contributors&gt;&lt;authors&gt;&lt;author&gt;O&amp;apos;Mahony, Tadhg&lt;/author&gt;&lt;/authors&gt;&lt;/contributors&gt;&lt;titles&gt;&lt;title&gt;Decomposition of Ireland&amp;apos;s carbon emissions from 1990 to 2010: an extended Kaya identity&lt;/title&gt;&lt;secondary-title&gt;Energy Policy&lt;/secondary-title&gt;&lt;/titles&gt;&lt;periodical&gt;&lt;full-title&gt;Energy Policy&lt;/full-title&gt;&lt;abbr-1&gt;Energy Policy&lt;/abbr-1&gt;&lt;/periodical&gt;&lt;pages&gt;573-581&lt;/pages&gt;&lt;volume&gt;59&lt;/volume&gt;&lt;dates&gt;&lt;year&gt;2013&lt;/year&gt;&lt;/dates&gt;&lt;isbn&gt;0301-4215&lt;/isbn&gt;&lt;urls&gt;&lt;/urls&gt;&lt;/record&gt;&lt;/Cite&gt;&lt;Cite&gt;&lt;Author&gt;Roinioti&lt;/Author&gt;&lt;Year&gt;2017&lt;/Year&gt;&lt;RecNum&gt;188&lt;/RecNum&gt;&lt;record&gt;&lt;rec-number&gt;188&lt;/rec-number&gt;&lt;foreign-keys&gt;&lt;key app="EN" db-id="zap5wezzop9xpwe0awepz55lfafptea5pr2w" timestamp="1601381873"&gt;188&lt;/key&gt;&lt;/foreign-keys&gt;&lt;ref-type name="Journal Article"&gt;17&lt;/ref-type&gt;&lt;contributors&gt;&lt;authors&gt;&lt;author&gt;Roinioti, Argiro&lt;/author&gt;&lt;author&gt;Koroneos, Christopher&lt;/author&gt;&lt;/authors&gt;&lt;/contributors&gt;&lt;titles&gt;&lt;title&gt;The decomposition of CO2 emissions from energy use in Greece before and during the economic crisis and their decoupling from economic growth&lt;/title&gt;&lt;secondary-title&gt;Renewable and Sustainable Energy Reviews&lt;/secondary-title&gt;&lt;/titles&gt;&lt;periodical&gt;&lt;full-title&gt;Renewable and Sustainable Energy Reviews&lt;/full-title&gt;&lt;/periodical&gt;&lt;pages&gt;448-459&lt;/pages&gt;&lt;volume&gt;76&lt;/volume&gt;&lt;dates&gt;&lt;year&gt;2017&lt;/year&gt;&lt;/dates&gt;&lt;isbn&gt;1364-0321&lt;/isbn&gt;&lt;urls&gt;&lt;/urls&gt;&lt;/record&gt;&lt;/Cite&gt;&lt;/EndNote&gt;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(O'Mahony, 2013; Roinioti &amp; Koroneos, 2017)</w:t>
      </w:r>
      <w:r>
        <w:rPr>
          <w:rFonts w:ascii="Times New Roman" w:hAnsi="Times New Roman" w:cs="Times New Roman"/>
          <w:lang w:val="en-GB"/>
        </w:rPr>
        <w:fldChar w:fldCharType="end"/>
      </w:r>
      <w:r>
        <w:rPr>
          <w:rFonts w:ascii="Times New Roman" w:hAnsi="Times New Roman" w:cs="Times New Roman"/>
          <w:lang w:val="en-GB"/>
        </w:rPr>
        <w:t xml:space="preserve">, the literature has paid little attention to the effects of crises on emissions drivers.  </w:t>
      </w:r>
    </w:p>
    <w:bookmarkEnd w:id="0"/>
    <w:p w14:paraId="58875787" w14:textId="457D5CE3" w:rsidR="006F4619" w:rsidRDefault="006F4619" w:rsidP="006F4619">
      <w:pPr>
        <w:spacing w:line="360" w:lineRule="auto"/>
        <w:jc w:val="both"/>
        <w:rPr>
          <w:rFonts w:ascii="Times New Roman" w:hAnsi="Times New Roman" w:cs="Times New Roman"/>
          <w:lang w:val="en-GB"/>
        </w:rPr>
      </w:pPr>
      <w:r>
        <w:rPr>
          <w:rFonts w:ascii="Times New Roman" w:hAnsi="Times New Roman" w:cs="Times New Roman"/>
          <w:lang w:val="en-GB"/>
        </w:rPr>
        <w:t xml:space="preserve">The studies on Spain and Germany </w:t>
      </w:r>
      <w:r w:rsidR="00C1521F">
        <w:rPr>
          <w:rFonts w:ascii="Times New Roman" w:hAnsi="Times New Roman" w:cs="Times New Roman"/>
          <w:lang w:val="en-GB"/>
        </w:rPr>
        <w:t>did not investigate</w:t>
      </w:r>
      <w:r>
        <w:rPr>
          <w:rFonts w:ascii="Times New Roman" w:hAnsi="Times New Roman" w:cs="Times New Roman"/>
          <w:lang w:val="en-GB"/>
        </w:rPr>
        <w:t xml:space="preserve"> the effects of economic crises or focused on one dimension only (See Table 1 for an overview). For Spain,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 AuthorYear="1"&gt;&lt;Author&gt;Cansino&lt;/Author&gt;&lt;Year&gt;2016&lt;/Year&gt;&lt;RecNum&gt;795&lt;/RecNum&gt;&lt;DisplayText&gt;Cansino et al. (2016)&lt;/DisplayText&gt;&lt;record&gt;&lt;rec-number&gt;795&lt;/rec-number&gt;&lt;foreign-keys&gt;&lt;key app="EN" db-id="zap5wezzop9xpwe0awepz55lfafptea5pr2w" timestamp="1646067059"&gt;795&lt;/key&gt;&lt;/foreign-keys&gt;&lt;ref-type name="Journal Article"&gt;17&lt;/ref-type&gt;&lt;contributors&gt;&lt;authors&gt;&lt;author&gt;Cansino, José M&lt;/author&gt;&lt;author&gt;Roman, Rocio&lt;/author&gt;&lt;author&gt;Ordonez, Manuel&lt;/author&gt;&lt;/authors&gt;&lt;/contributors&gt;&lt;titles&gt;&lt;title&gt;Main drivers of changes in CO2 emissions in the Spanish economy: A structural decomposition analysis&lt;/title&gt;&lt;secondary-title&gt;Energy Policy&lt;/secondary-title&gt;&lt;/titles&gt;&lt;periodical&gt;&lt;full-title&gt;Energy Policy&lt;/full-title&gt;&lt;abbr-1&gt;Energy Policy&lt;/abbr-1&gt;&lt;/periodical&gt;&lt;pages&gt;150-159&lt;/pages&gt;&lt;volume&gt;89&lt;/volume&gt;&lt;dates&gt;&lt;year&gt;2016&lt;/year&gt;&lt;/dates&gt;&lt;isbn&gt;0301-4215&lt;/isbn&gt;&lt;urls&gt;&lt;/urls&gt;&lt;/record&gt;&lt;/Cite&gt;&lt;/EndNote&gt;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Cansino et al. (2016)</w:t>
      </w:r>
      <w:r>
        <w:rPr>
          <w:rFonts w:ascii="Times New Roman" w:hAnsi="Times New Roman" w:cs="Times New Roman"/>
          <w:lang w:val="en-GB"/>
        </w:rPr>
        <w:fldChar w:fldCharType="end"/>
      </w:r>
      <w:r>
        <w:rPr>
          <w:rFonts w:ascii="Times New Roman" w:hAnsi="Times New Roman" w:cs="Times New Roman"/>
          <w:lang w:val="en-GB"/>
        </w:rPr>
        <w:t xml:space="preserve"> and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 AuthorYear="1"&gt;&lt;Author&gt;Cansino&lt;/Author&gt;&lt;Year&gt;2015&lt;/Year&gt;&lt;RecNum&gt;794&lt;/RecNum&gt;&lt;DisplayText&gt;Cansino et al. (2015)&lt;/DisplayText&gt;&lt;record&gt;&lt;rec-number&gt;794&lt;/rec-number&gt;&lt;foreign-keys&gt;&lt;key app="EN" db-id="zap5wezzop9xpwe0awepz55lfafptea5pr2w" timestamp="1646064780"&gt;794&lt;/key&gt;&lt;/foreign-keys&gt;&lt;ref-type name="Journal Article"&gt;17&lt;/ref-type&gt;&lt;contributors&gt;&lt;authors&gt;&lt;author&gt;Cansino, José M&lt;/author&gt;&lt;author&gt;Sánchez-Braza, Antonio&lt;/author&gt;&lt;author&gt;Rodríguez-Arévalo, María L&lt;/author&gt;&lt;/authors&gt;&lt;/contributors&gt;&lt;titles&gt;&lt;title&gt;Driving forces of Spain׳ s CO2 emissions: A LMDI decomposition approach&lt;/title&gt;&lt;secondary-title&gt;Renewable and Sustainable Energy Reviews&lt;/secondary-title&gt;&lt;/titles&gt;&lt;periodical&gt;&lt;full-title&gt;Renewable and Sustainable Energy Reviews&lt;/full-title&gt;&lt;/periodical&gt;&lt;pages&gt;749-759&lt;/pages&gt;&lt;volume&gt;48&lt;/volume&gt;&lt;dates&gt;&lt;year&gt;2015&lt;/year&gt;&lt;/dates&gt;&lt;isbn&gt;1364-0321&lt;/isbn&gt;&lt;urls&gt;&lt;/urls&gt;&lt;/record&gt;&lt;/Cite&gt;&lt;/EndNote&gt;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Cansino et al. (2015)</w:t>
      </w:r>
      <w:r>
        <w:rPr>
          <w:rFonts w:ascii="Times New Roman" w:hAnsi="Times New Roman" w:cs="Times New Roman"/>
          <w:lang w:val="en-GB"/>
        </w:rPr>
        <w:fldChar w:fldCharType="end"/>
      </w:r>
      <w:r w:rsidRPr="00205FDC">
        <w:rPr>
          <w:rFonts w:ascii="Times New Roman" w:hAnsi="Times New Roman" w:cs="Times New Roman"/>
          <w:lang w:val="en-GB"/>
        </w:rPr>
        <w:t xml:space="preserve"> found that the implementation of the Kyoto Protocol and the growth in renewable energy had the largest impact on the mitigation of energy-related CO</w:t>
      </w:r>
      <w:r w:rsidRPr="00223D23">
        <w:rPr>
          <w:rFonts w:ascii="Times New Roman" w:hAnsi="Times New Roman" w:cs="Times New Roman"/>
          <w:vertAlign w:val="subscript"/>
          <w:lang w:val="en-GB"/>
        </w:rPr>
        <w:t>2</w:t>
      </w:r>
      <w:r w:rsidRPr="00205FDC">
        <w:rPr>
          <w:rFonts w:ascii="Times New Roman" w:hAnsi="Times New Roman" w:cs="Times New Roman"/>
          <w:lang w:val="en-GB"/>
        </w:rPr>
        <w:t xml:space="preserve"> emissions in 1995-2007, but also that the scale effect of economic growth outweighed these reductions until the economic crisis in 2008</w:t>
      </w:r>
      <w:r w:rsidRPr="00473490">
        <w:rPr>
          <w:rFonts w:ascii="Times New Roman" w:hAnsi="Times New Roman" w:cs="Times New Roman"/>
          <w:lang w:val="en-GB"/>
        </w:rPr>
        <w:t>.</w:t>
      </w:r>
      <w:r>
        <w:rPr>
          <w:rFonts w:ascii="Times New Roman" w:hAnsi="Times New Roman" w:cs="Times New Roman"/>
          <w:lang w:val="en-GB"/>
        </w:rPr>
        <w:t xml:space="preserve">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 AuthorYear="1"&gt;&lt;Author&gt;Kopidou&lt;/Author&gt;&lt;Year&gt;2017&lt;/Year&gt;&lt;RecNum&gt;800&lt;/RecNum&gt;&lt;DisplayText&gt;Kopidou and Diakoulaki (2017)&lt;/DisplayText&gt;&lt;record&gt;&lt;rec-number&gt;800&lt;/rec-number&gt;&lt;foreign-keys&gt;&lt;key app="EN" db-id="zap5wezzop9xpwe0awepz55lfafptea5pr2w" timestamp="1646145833"&gt;800&lt;/key&gt;&lt;/foreign-keys&gt;&lt;ref-type name="Journal Article"&gt;17&lt;/ref-type&gt;&lt;contributors&gt;&lt;authors&gt;&lt;author&gt;Kopidou, D&lt;/author&gt;&lt;author&gt;Diakoulaki, D&lt;/author&gt;&lt;/authors&gt;&lt;/contributors&gt;&lt;titles&gt;&lt;title&gt;Decomposing industrial CO2 emissions of Southern European countries into production-and consumption-based driving factors&lt;/title&gt;&lt;secondary-title&gt;Journal of Cleaner Production&lt;/secondary-title&gt;&lt;/titles&gt;&lt;periodical&gt;&lt;full-title&gt;Journal of Cleaner Production&lt;/full-title&gt;&lt;/periodical&gt;&lt;pages&gt;1325-1334&lt;/pages&gt;&lt;volume&gt;167&lt;/volume&gt;&lt;dates&gt;&lt;year&gt;2017&lt;/year&gt;&lt;/dates&gt;&lt;isbn&gt;0959-6526&lt;/isbn&gt;&lt;urls&gt;&lt;/urls&gt;&lt;/record&gt;&lt;/Cite&gt;&lt;/EndNote&gt;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Kopidou and Diakoulaki (2017)</w:t>
      </w:r>
      <w:r>
        <w:rPr>
          <w:rFonts w:ascii="Times New Roman" w:hAnsi="Times New Roman" w:cs="Times New Roman"/>
          <w:lang w:val="en-GB"/>
        </w:rPr>
        <w:fldChar w:fldCharType="end"/>
      </w:r>
      <w:r>
        <w:rPr>
          <w:rFonts w:ascii="Times New Roman" w:hAnsi="Times New Roman" w:cs="Times New Roman"/>
          <w:lang w:val="en-GB"/>
        </w:rPr>
        <w:t xml:space="preserve"> showed that the industry-related CO</w:t>
      </w:r>
      <w:r w:rsidRPr="00FC01FE">
        <w:rPr>
          <w:rFonts w:ascii="Times New Roman" w:hAnsi="Times New Roman" w:cs="Times New Roman"/>
          <w:vertAlign w:val="subscript"/>
          <w:lang w:val="en-GB"/>
        </w:rPr>
        <w:t>2</w:t>
      </w:r>
      <w:r>
        <w:rPr>
          <w:rFonts w:ascii="Times New Roman" w:hAnsi="Times New Roman" w:cs="Times New Roman"/>
          <w:lang w:val="en-GB"/>
        </w:rPr>
        <w:t xml:space="preserve"> emissions in Spain decreased substantially in 2008-11 due to a sharp drop in activity.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 AuthorYear="1"&gt;&lt;Author&gt;O’Mahony&lt;/Author&gt;&lt;Year&gt;2015&lt;/Year&gt;&lt;RecNum&gt;867&lt;/RecNum&gt;&lt;DisplayText&gt;O’Mahony and Dufour (2015)&lt;/DisplayText&gt;&lt;record&gt;&lt;rec-number&gt;867&lt;/rec-number&gt;&lt;foreign-keys&gt;&lt;key app="EN" db-id="zap5wezzop9xpwe0awepz55lfafptea5pr2w" timestamp="1655296940"&gt;867&lt;/key&gt;&lt;/foreign-keys&gt;&lt;ref-type name="Journal Article"&gt;17&lt;/ref-type&gt;&lt;contributors&gt;&lt;authors&gt;&lt;author&gt;O’Mahony, Tadhg&lt;/author&gt;&lt;author&gt;Dufour, Javier&lt;/author&gt;&lt;/authors&gt;&lt;/contributors&gt;&lt;titles&gt;&lt;title&gt;Tracking development paths: Monitoring driving forces and the impact of carbon-free energy sources in Spain&lt;/title&gt;&lt;secondary-title&gt;Environmental Science &amp;amp; Policy&lt;/secondary-title&gt;&lt;/titles&gt;&lt;periodical&gt;&lt;full-title&gt;Environmental Science &amp;amp; Policy&lt;/full-title&gt;&lt;abbr-1&gt;Environmental Science &amp;amp; Policy&lt;/abbr-1&gt;&lt;/periodical&gt;&lt;pages&gt;62-73&lt;/pages&gt;&lt;volume&gt;50&lt;/volume&gt;&lt;dates&gt;&lt;year&gt;2015&lt;/year&gt;&lt;/dates&gt;&lt;isbn&gt;1462-9011&lt;/isbn&gt;&lt;urls&gt;&lt;/urls&gt;&lt;/record&gt;&lt;/Cite&gt;&lt;/EndNote&gt;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O’Mahony and Dufour (2015)</w:t>
      </w:r>
      <w:r>
        <w:rPr>
          <w:rFonts w:ascii="Times New Roman" w:hAnsi="Times New Roman" w:cs="Times New Roman"/>
          <w:lang w:val="en-GB"/>
        </w:rPr>
        <w:fldChar w:fldCharType="end"/>
      </w:r>
      <w:r>
        <w:rPr>
          <w:rFonts w:ascii="Times New Roman" w:hAnsi="Times New Roman" w:cs="Times New Roman"/>
          <w:lang w:val="en-GB"/>
        </w:rPr>
        <w:t xml:space="preserve"> investigated energy-related CO</w:t>
      </w:r>
      <w:r w:rsidRPr="00B04083">
        <w:rPr>
          <w:rFonts w:ascii="Times New Roman" w:hAnsi="Times New Roman" w:cs="Times New Roman"/>
          <w:vertAlign w:val="subscript"/>
          <w:lang w:val="en-GB"/>
        </w:rPr>
        <w:t>2</w:t>
      </w:r>
      <w:r>
        <w:rPr>
          <w:rFonts w:ascii="Times New Roman" w:hAnsi="Times New Roman" w:cs="Times New Roman"/>
          <w:lang w:val="en-GB"/>
        </w:rPr>
        <w:t xml:space="preserve"> </w:t>
      </w:r>
      <w:r>
        <w:rPr>
          <w:rFonts w:ascii="Times New Roman" w:hAnsi="Times New Roman" w:cs="Times New Roman"/>
          <w:lang w:val="en-GB"/>
        </w:rPr>
        <w:lastRenderedPageBreak/>
        <w:t xml:space="preserve">emissions in Spain 1990-2011, finding that </w:t>
      </w:r>
      <w:r w:rsidRPr="004E5271">
        <w:rPr>
          <w:rFonts w:ascii="Times New Roman" w:hAnsi="Times New Roman" w:cs="Times New Roman"/>
          <w:lang w:val="en-US"/>
        </w:rPr>
        <w:t>afﬂuence</w:t>
      </w:r>
      <w:r>
        <w:rPr>
          <w:rFonts w:ascii="Times New Roman" w:hAnsi="Times New Roman" w:cs="Times New Roman"/>
          <w:lang w:val="en-US"/>
        </w:rPr>
        <w:t>,</w:t>
      </w:r>
      <w:r w:rsidRPr="004E5271">
        <w:rPr>
          <w:rFonts w:ascii="Times New Roman" w:hAnsi="Times New Roman" w:cs="Times New Roman"/>
          <w:lang w:val="en-US"/>
        </w:rPr>
        <w:t xml:space="preserve"> population and</w:t>
      </w:r>
      <w:r>
        <w:rPr>
          <w:rFonts w:ascii="Times New Roman" w:hAnsi="Times New Roman" w:cs="Times New Roman"/>
          <w:lang w:val="en-US"/>
        </w:rPr>
        <w:t xml:space="preserve"> </w:t>
      </w:r>
      <w:r w:rsidRPr="004E5271">
        <w:rPr>
          <w:rFonts w:ascii="Times New Roman" w:hAnsi="Times New Roman" w:cs="Times New Roman"/>
          <w:lang w:val="en-US"/>
        </w:rPr>
        <w:t xml:space="preserve">energy intensity </w:t>
      </w:r>
      <w:r>
        <w:rPr>
          <w:rFonts w:ascii="Times New Roman" w:hAnsi="Times New Roman" w:cs="Times New Roman"/>
          <w:lang w:val="en-US"/>
        </w:rPr>
        <w:t>increased emissions, while f</w:t>
      </w:r>
      <w:r w:rsidRPr="004E5271">
        <w:rPr>
          <w:rFonts w:ascii="Times New Roman" w:hAnsi="Times New Roman" w:cs="Times New Roman"/>
          <w:lang w:val="en-US"/>
        </w:rPr>
        <w:t>uel substitution decrease</w:t>
      </w:r>
      <w:r>
        <w:rPr>
          <w:rFonts w:ascii="Times New Roman" w:hAnsi="Times New Roman" w:cs="Times New Roman"/>
          <w:lang w:val="en-US"/>
        </w:rPr>
        <w:t>d</w:t>
      </w:r>
      <w:r w:rsidRPr="004E5271">
        <w:rPr>
          <w:rFonts w:ascii="Times New Roman" w:hAnsi="Times New Roman" w:cs="Times New Roman"/>
          <w:lang w:val="en-US"/>
        </w:rPr>
        <w:t xml:space="preserve"> </w:t>
      </w:r>
      <w:r>
        <w:rPr>
          <w:rFonts w:ascii="Times New Roman" w:hAnsi="Times New Roman" w:cs="Times New Roman"/>
          <w:lang w:val="en-US"/>
        </w:rPr>
        <w:t>them.</w:t>
      </w:r>
      <w:r w:rsidRPr="00473490">
        <w:rPr>
          <w:rFonts w:ascii="Times New Roman" w:hAnsi="Times New Roman" w:cs="Times New Roman"/>
          <w:lang w:val="en-GB"/>
        </w:rPr>
        <w:t xml:space="preserve">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 AuthorYear="1"&gt;&lt;Author&gt;Sobrino&lt;/Author&gt;&lt;Year&gt;2014&lt;/Year&gt;&lt;RecNum&gt;835&lt;/RecNum&gt;&lt;DisplayText&gt;Sobrino and Monzon (2014)&lt;/DisplayText&gt;&lt;record&gt;&lt;rec-number&gt;835&lt;/rec-number&gt;&lt;foreign-keys&gt;&lt;key app="EN" db-id="zap5wezzop9xpwe0awepz55lfafptea5pr2w" timestamp="1647353682"&gt;835&lt;/key&gt;&lt;/foreign-keys&gt;&lt;ref-type name="Journal Article"&gt;17&lt;/ref-type&gt;&lt;contributors&gt;&lt;authors&gt;&lt;author&gt;Sobrino, Natalia&lt;/author&gt;&lt;author&gt;Monzon, Andres&lt;/author&gt;&lt;/authors&gt;&lt;/contributors&gt;&lt;titles&gt;&lt;title&gt;The impact of the economic crisis and policy actions on GHG emissions from road transport in Spain&lt;/title&gt;&lt;secondary-title&gt;Energy Policy&lt;/secondary-title&gt;&lt;/titles&gt;&lt;periodical&gt;&lt;full-title&gt;Energy Policy&lt;/full-title&gt;&lt;abbr-1&gt;Energy Policy&lt;/abbr-1&gt;&lt;/periodical&gt;&lt;pages&gt;486-498&lt;/pages&gt;&lt;volume&gt;74&lt;/volume&gt;&lt;dates&gt;&lt;year&gt;2014&lt;/year&gt;&lt;/dates&gt;&lt;isbn&gt;0301-4215&lt;/isbn&gt;&lt;urls&gt;&lt;/urls&gt;&lt;/record&gt;&lt;/Cite&gt;&lt;/EndNote&gt;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Sobrino and Monzon (2014)</w:t>
      </w:r>
      <w:r>
        <w:rPr>
          <w:rFonts w:ascii="Times New Roman" w:hAnsi="Times New Roman" w:cs="Times New Roman"/>
          <w:lang w:val="en-GB"/>
        </w:rPr>
        <w:fldChar w:fldCharType="end"/>
      </w:r>
      <w:r w:rsidRPr="00473490">
        <w:rPr>
          <w:rFonts w:ascii="Times New Roman" w:hAnsi="Times New Roman" w:cs="Times New Roman"/>
          <w:lang w:val="en-GB"/>
        </w:rPr>
        <w:t xml:space="preserve"> focused specifically on the Spanish transport sector showing that </w:t>
      </w:r>
      <w:r>
        <w:rPr>
          <w:rFonts w:ascii="Times New Roman" w:hAnsi="Times New Roman" w:cs="Times New Roman"/>
          <w:lang w:val="en-GB"/>
        </w:rPr>
        <w:t xml:space="preserve">the </w:t>
      </w:r>
      <w:r w:rsidRPr="00473490">
        <w:rPr>
          <w:rFonts w:ascii="Times New Roman" w:hAnsi="Times New Roman" w:cs="Times New Roman"/>
          <w:lang w:val="en-GB"/>
        </w:rPr>
        <w:t>energy efficiency of road transport has increased during the economic crisis, partially attributable to public policies that incentivi</w:t>
      </w:r>
      <w:r>
        <w:rPr>
          <w:rFonts w:ascii="Times New Roman" w:hAnsi="Times New Roman" w:cs="Times New Roman"/>
          <w:lang w:val="en-GB"/>
        </w:rPr>
        <w:t>s</w:t>
      </w:r>
      <w:r w:rsidRPr="00473490">
        <w:rPr>
          <w:rFonts w:ascii="Times New Roman" w:hAnsi="Times New Roman" w:cs="Times New Roman"/>
          <w:lang w:val="en-GB"/>
        </w:rPr>
        <w:t xml:space="preserve">ed the purchase of more efficient vehicles.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 AuthorYear="1"&gt;&lt;Author&gt;Mendiluce&lt;/Author&gt;&lt;Year&gt;2011&lt;/Year&gt;&lt;RecNum&gt;868&lt;/RecNum&gt;&lt;DisplayText&gt;Mendiluce and Schipper (2011)&lt;/DisplayText&gt;&lt;record&gt;&lt;rec-number&gt;868&lt;/rec-number&gt;&lt;foreign-keys&gt;&lt;key app="EN" db-id="zap5wezzop9xpwe0awepz55lfafptea5pr2w" timestamp="1655297225"&gt;868&lt;/key&gt;&lt;/foreign-keys&gt;&lt;ref-type name="Journal Article"&gt;17&lt;/ref-type&gt;&lt;contributors&gt;&lt;authors&gt;&lt;author&gt;Mendiluce, María&lt;/author&gt;&lt;author&gt;Schipper, Lee&lt;/author&gt;&lt;/authors&gt;&lt;/contributors&gt;&lt;titles&gt;&lt;title&gt;Trends in passenger transport and freight energy use in Spain&lt;/title&gt;&lt;secondary-title&gt;Energy Policy&lt;/secondary-title&gt;&lt;/titles&gt;&lt;periodical&gt;&lt;full-title&gt;Energy Policy&lt;/full-title&gt;&lt;abbr-1&gt;Energy Policy&lt;/abbr-1&gt;&lt;/periodical&gt;&lt;pages&gt;6466-6475&lt;/pages&gt;&lt;volume&gt;39&lt;/volume&gt;&lt;number&gt;10&lt;/number&gt;&lt;dates&gt;&lt;year&gt;2011&lt;/year&gt;&lt;/dates&gt;&lt;isbn&gt;0301-4215&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Mendiluce and Schipper (2011)</w:t>
      </w:r>
      <w:r>
        <w:rPr>
          <w:rFonts w:ascii="Times New Roman" w:hAnsi="Times New Roman" w:cs="Times New Roman"/>
          <w:lang w:val="en-GB"/>
        </w:rPr>
        <w:fldChar w:fldCharType="end"/>
      </w:r>
      <w:r>
        <w:rPr>
          <w:rFonts w:ascii="Times New Roman" w:hAnsi="Times New Roman" w:cs="Times New Roman"/>
          <w:lang w:val="en-GB"/>
        </w:rPr>
        <w:t xml:space="preserve"> showed that “activity” (in passenger-km and tonne-km) was the main driver increasing transport emissions during the economic boom before the GFC. We found no DA of Spanish emissions during the Covid-19 crisis. </w:t>
      </w:r>
    </w:p>
    <w:p w14:paraId="5B35C9CE" w14:textId="3B78C964" w:rsidR="006F4619" w:rsidRDefault="006F4619" w:rsidP="006F4619">
      <w:pPr>
        <w:spacing w:line="360" w:lineRule="auto"/>
        <w:jc w:val="both"/>
        <w:rPr>
          <w:rFonts w:ascii="Times New Roman" w:hAnsi="Times New Roman" w:cs="Times New Roman"/>
          <w:lang w:val="en-GB"/>
        </w:rPr>
      </w:pP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 AuthorYear="1"&gt;&lt;Author&gt;Li&lt;/Author&gt;&lt;Year&gt;2021&lt;/Year&gt;&lt;RecNum&gt;914&lt;/RecNum&gt;&lt;DisplayText&gt;Li et al. (2021)&lt;/DisplayText&gt;&lt;record&gt;&lt;rec-number&gt;914&lt;/rec-number&gt;&lt;foreign-keys&gt;&lt;key app="EN" db-id="zap5wezzop9xpwe0awepz55lfafptea5pr2w" timestamp="1665064576"&gt;914&lt;/key&gt;&lt;/foreign-keys&gt;&lt;ref-type name="Journal Article"&gt;17&lt;/ref-type&gt;&lt;contributors&gt;&lt;authors&gt;&lt;author&gt;Li, Rongrong&lt;/author&gt;&lt;author&gt;Wang, Qiang&lt;/author&gt;&lt;author&gt;Liu, Yi&lt;/author&gt;&lt;author&gt;Yang, Xue&lt;/author&gt;&lt;/authors&gt;&lt;/contributors&gt;&lt;titles&gt;&lt;title&gt;How can Germany reduce production-based and consumption-based carbon emissions? A decomposition analysis&lt;/title&gt;&lt;secondary-title&gt;Carbon Management&lt;/secondary-title&gt;&lt;/titles&gt;&lt;periodical&gt;&lt;full-title&gt;Carbon Management&lt;/full-title&gt;&lt;/periodical&gt;&lt;pages&gt;335-357&lt;/pages&gt;&lt;volume&gt;12&lt;/volume&gt;&lt;number&gt;4&lt;/number&gt;&lt;dates&gt;&lt;year&gt;2021&lt;/year&gt;&lt;/dates&gt;&lt;isbn&gt;1758-3004&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Li et al. (2021)</w:t>
      </w:r>
      <w:r>
        <w:rPr>
          <w:rFonts w:ascii="Times New Roman" w:hAnsi="Times New Roman" w:cs="Times New Roman"/>
          <w:lang w:val="en-GB"/>
        </w:rPr>
        <w:fldChar w:fldCharType="end"/>
      </w:r>
      <w:r>
        <w:rPr>
          <w:rFonts w:ascii="Times New Roman" w:hAnsi="Times New Roman" w:cs="Times New Roman"/>
          <w:lang w:val="en-GB"/>
        </w:rPr>
        <w:t xml:space="preserve"> found that p</w:t>
      </w:r>
      <w:r w:rsidRPr="00273409">
        <w:rPr>
          <w:rFonts w:ascii="Times New Roman" w:hAnsi="Times New Roman" w:cs="Times New Roman"/>
          <w:lang w:val="en-GB"/>
        </w:rPr>
        <w:t>roduction-based and consumption-based CO</w:t>
      </w:r>
      <w:r w:rsidRPr="00273409">
        <w:rPr>
          <w:rFonts w:ascii="Times New Roman" w:hAnsi="Times New Roman" w:cs="Times New Roman"/>
          <w:vertAlign w:val="subscript"/>
          <w:lang w:val="en-GB"/>
        </w:rPr>
        <w:t>2</w:t>
      </w:r>
      <w:r w:rsidRPr="00273409">
        <w:rPr>
          <w:rFonts w:ascii="Times New Roman" w:hAnsi="Times New Roman" w:cs="Times New Roman"/>
          <w:lang w:val="en-GB"/>
        </w:rPr>
        <w:t xml:space="preserve"> emission in Germany declined by 2.8% and 8.5% in 2000-</w:t>
      </w:r>
      <w:r w:rsidR="00C1521F">
        <w:rPr>
          <w:rFonts w:ascii="Times New Roman" w:hAnsi="Times New Roman" w:cs="Times New Roman"/>
          <w:lang w:val="en-GB"/>
        </w:rPr>
        <w:t>20</w:t>
      </w:r>
      <w:r w:rsidRPr="00273409">
        <w:rPr>
          <w:rFonts w:ascii="Times New Roman" w:hAnsi="Times New Roman" w:cs="Times New Roman"/>
          <w:lang w:val="en-GB"/>
        </w:rPr>
        <w:t>15</w:t>
      </w:r>
      <w:r>
        <w:rPr>
          <w:rFonts w:ascii="Times New Roman" w:hAnsi="Times New Roman" w:cs="Times New Roman"/>
          <w:lang w:val="en-GB"/>
        </w:rPr>
        <w:t xml:space="preserve"> thanks to improvements in carbon intensity. </w:t>
      </w:r>
      <w:r w:rsidRPr="00473490">
        <w:rPr>
          <w:rFonts w:ascii="Times New Roman" w:hAnsi="Times New Roman" w:cs="Times New Roman"/>
          <w:lang w:val="en-GB"/>
        </w:rPr>
        <w:t>Finally,</w:t>
      </w:r>
      <w:r>
        <w:rPr>
          <w:rFonts w:ascii="Times New Roman" w:hAnsi="Times New Roman" w:cs="Times New Roman"/>
          <w:lang w:val="en-GB"/>
        </w:rPr>
        <w:t xml:space="preserve">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 AuthorYear="1"&gt;&lt;Author&gt;Shammugam&lt;/Author&gt;&lt;Year&gt;2022&lt;/Year&gt;&lt;RecNum&gt;875&lt;/RecNum&gt;&lt;DisplayText&gt;Shammugam et al. (2022)&lt;/DisplayText&gt;&lt;record&gt;&lt;rec-number&gt;875&lt;/rec-number&gt;&lt;foreign-keys&gt;&lt;key app="EN" db-id="zap5wezzop9xpwe0awepz55lfafptea5pr2w" timestamp="1656005646"&gt;875&lt;/key&gt;&lt;/foreign-keys&gt;&lt;ref-type name="Journal Article"&gt;17&lt;/ref-type&gt;&lt;contributors&gt;&lt;authors&gt;&lt;author&gt;Shammugam, Shivenes&lt;/author&gt;&lt;author&gt;Schleich, Joachim&lt;/author&gt;&lt;author&gt;Schlomann, Barbara&lt;/author&gt;&lt;author&gt;Montrone, Lorenzo&lt;/author&gt;&lt;/authors&gt;&lt;/contributors&gt;&lt;titles&gt;&lt;title&gt;Did Germany reach its 2020 climate targets thanks to the COVID-19 pandemic?&lt;/title&gt;&lt;secondary-title&gt;Climate Policy&lt;/secondary-title&gt;&lt;/titles&gt;&lt;periodical&gt;&lt;full-title&gt;Climate Policy&lt;/full-title&gt;&lt;abbr-1&gt;Climate Policy&lt;/abbr-1&gt;&lt;/periodical&gt;&lt;pages&gt;1-15&lt;/pages&gt;&lt;dates&gt;&lt;year&gt;2022&lt;/year&gt;&lt;/dates&gt;&lt;isbn&gt;1469-3062&lt;/isbn&gt;&lt;urls&gt;&lt;/urls&gt;&lt;/record&gt;&lt;/Cite&gt;&lt;/EndNote&gt;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Shammugam et al. (2022)</w:t>
      </w:r>
      <w:r>
        <w:rPr>
          <w:rFonts w:ascii="Times New Roman" w:hAnsi="Times New Roman" w:cs="Times New Roman"/>
          <w:lang w:val="en-GB"/>
        </w:rPr>
        <w:fldChar w:fldCharType="end"/>
      </w:r>
      <w:r>
        <w:rPr>
          <w:rFonts w:ascii="Times New Roman" w:hAnsi="Times New Roman" w:cs="Times New Roman"/>
          <w:lang w:val="en-GB"/>
        </w:rPr>
        <w:t xml:space="preserve"> compared real GHG in Germany with a counterfactual scenario without the pandemic, finding that in 2020 the COVID pandemic lowered emissions by 41 MtCO</w:t>
      </w:r>
      <w:r w:rsidRPr="00D806D2">
        <w:rPr>
          <w:rFonts w:ascii="Times New Roman" w:hAnsi="Times New Roman" w:cs="Times New Roman"/>
          <w:vertAlign w:val="subscript"/>
          <w:lang w:val="en-GB"/>
        </w:rPr>
        <w:t>2eq</w:t>
      </w:r>
      <w:r>
        <w:rPr>
          <w:rFonts w:ascii="Times New Roman" w:hAnsi="Times New Roman" w:cs="Times New Roman"/>
          <w:lang w:val="en-GB"/>
        </w:rPr>
        <w:t xml:space="preserve"> or about 58% of the observed emission reduction.</w:t>
      </w:r>
    </w:p>
    <w:p w14:paraId="448DEAF2" w14:textId="0244A457" w:rsidR="00FB58CB" w:rsidRPr="0023571A" w:rsidRDefault="00FB58CB" w:rsidP="0023571A">
      <w:pPr>
        <w:pStyle w:val="ListParagraph"/>
        <w:numPr>
          <w:ilvl w:val="0"/>
          <w:numId w:val="2"/>
        </w:numPr>
        <w:rPr>
          <w:rFonts w:ascii="Times New Roman" w:hAnsi="Times New Roman" w:cs="Times New Roman"/>
          <w:b/>
          <w:bCs/>
          <w:sz w:val="24"/>
          <w:szCs w:val="24"/>
          <w:lang w:val="en-US"/>
        </w:rPr>
      </w:pPr>
      <w:r w:rsidRPr="0023571A">
        <w:rPr>
          <w:rFonts w:ascii="Times New Roman" w:hAnsi="Times New Roman" w:cs="Times New Roman"/>
          <w:b/>
          <w:bCs/>
          <w:sz w:val="24"/>
          <w:szCs w:val="24"/>
          <w:lang w:val="en-US"/>
        </w:rPr>
        <w:t>Critical junctures in climate and energy policy</w:t>
      </w:r>
    </w:p>
    <w:p w14:paraId="5F833197" w14:textId="63C6138D" w:rsidR="00FB58CB" w:rsidRPr="00DA67CA" w:rsidRDefault="00FB58CB" w:rsidP="00FB58CB">
      <w:pPr>
        <w:spacing w:line="360" w:lineRule="auto"/>
        <w:jc w:val="both"/>
        <w:rPr>
          <w:rFonts w:ascii="Times New Roman" w:hAnsi="Times New Roman" w:cs="Times New Roman"/>
          <w:lang w:val="en-GB"/>
        </w:rPr>
      </w:pPr>
      <w:r>
        <w:rPr>
          <w:rFonts w:ascii="Times New Roman" w:hAnsi="Times New Roman" w:cs="Times New Roman"/>
          <w:lang w:val="en-US"/>
        </w:rPr>
        <w:t xml:space="preserve">The critical junctures approach from historical institutionalism acknowledges the importance of external shocks and crises in creating opportunities for major policy change and alterations in policy trajectories </w:t>
      </w:r>
      <w:r>
        <w:rPr>
          <w:rFonts w:ascii="Times New Roman" w:hAnsi="Times New Roman" w:cs="Times New Roman"/>
          <w:lang w:val="en-US"/>
        </w:rPr>
        <w:fldChar w:fldCharType="begin"/>
      </w:r>
      <w:r>
        <w:rPr>
          <w:rFonts w:ascii="Times New Roman" w:hAnsi="Times New Roman" w:cs="Times New Roman"/>
          <w:lang w:val="en-US"/>
        </w:rPr>
        <w:instrText xml:space="preserve"> ADDIN EN.CITE &lt;EndNote&gt;&lt;Cite&gt;&lt;Author&gt;Capoccia&lt;/Author&gt;&lt;Year&gt;2007&lt;/Year&gt;&lt;RecNum&gt;826&lt;/RecNum&gt;&lt;DisplayText&gt;(Capoccia &amp;amp; Kelemen, 2007; Dupont et al., 2020)&lt;/DisplayText&gt;&lt;record&gt;&lt;rec-number&gt;826&lt;/rec-number&gt;&lt;foreign-keys&gt;&lt;key app="EN" db-id="zap5wezzop9xpwe0awepz55lfafptea5pr2w" timestamp="1647254265"&gt;826&lt;/key&gt;&lt;/foreign-keys&gt;&lt;ref-type name="Journal Article"&gt;17&lt;/ref-type&gt;&lt;contributors&gt;&lt;authors&gt;&lt;author&gt;Capoccia, Giovanni&lt;/author&gt;&lt;author&gt;Kelemen, R Daniel&lt;/author&gt;&lt;/authors&gt;&lt;/contributors&gt;&lt;titles&gt;&lt;title&gt;The study of critical junctures: Theory, narrative, and counterfactuals in historical institutionalism&lt;/title&gt;&lt;secondary-title&gt;World politics&lt;/secondary-title&gt;&lt;/titles&gt;&lt;periodical&gt;&lt;full-title&gt;World politics&lt;/full-title&gt;&lt;/periodical&gt;&lt;pages&gt;341-369&lt;/pages&gt;&lt;volume&gt;59&lt;/volume&gt;&lt;number&gt;3&lt;/number&gt;&lt;dates&gt;&lt;year&gt;2007&lt;/year&gt;&lt;/dates&gt;&lt;isbn&gt;1086-3338&lt;/isbn&gt;&lt;urls&gt;&lt;/urls&gt;&lt;/record&gt;&lt;/Cite&gt;&lt;Cite&gt;&lt;Author&gt;Dupont&lt;/Author&gt;&lt;Year&gt;2020&lt;/Year&gt;&lt;RecNum&gt;207&lt;/RecNum&gt;&lt;record&gt;&lt;rec-number&gt;207&lt;/rec-number&gt;&lt;foreign-keys&gt;&lt;key app="EN" db-id="zap5wezzop9xpwe0awepz55lfafptea5pr2w" timestamp="1613591389"&gt;207&lt;/key&gt;&lt;/foreign-keys&gt;&lt;ref-type name="Journal Article"&gt;17&lt;/ref-type&gt;&lt;contributors&gt;&lt;authors&gt;&lt;author&gt;Dupont, Claire&lt;/author&gt;&lt;author&gt;Oberthür, Sebastian&lt;/author&gt;&lt;author&gt;von Homeyer, Ingmar&lt;/author&gt;&lt;/authors&gt;&lt;/contributors&gt;&lt;titles&gt;&lt;title&gt;The Covid-19 crisis: a critical juncture for EU climate policy development?&lt;/title&gt;&lt;secondary-title&gt;Journal of European Integration&lt;/secondary-title&gt;&lt;/titles&gt;&lt;periodical&gt;&lt;full-title&gt;Journal of European Integration&lt;/full-title&gt;&lt;/periodical&gt;&lt;pages&gt;1095-1110&lt;/pages&gt;&lt;volume&gt;42&lt;/volume&gt;&lt;number&gt;8&lt;/number&gt;&lt;dates&gt;&lt;year&gt;2020&lt;/year&gt;&lt;/dates&gt;&lt;isbn&gt;0703-6337&lt;/isbn&gt;&lt;urls&gt;&lt;/urls&gt;&lt;/record&gt;&lt;/Cite&gt;&lt;/EndNote&gt;</w:instrText>
      </w:r>
      <w:r>
        <w:rPr>
          <w:rFonts w:ascii="Times New Roman" w:hAnsi="Times New Roman" w:cs="Times New Roman"/>
          <w:lang w:val="en-US"/>
        </w:rPr>
        <w:fldChar w:fldCharType="separate"/>
      </w:r>
      <w:r>
        <w:rPr>
          <w:rFonts w:ascii="Times New Roman" w:hAnsi="Times New Roman" w:cs="Times New Roman"/>
          <w:noProof/>
          <w:lang w:val="en-US"/>
        </w:rPr>
        <w:t>(Capoccia &amp; Kelemen, 2007; Dupont et al., 2020)</w:t>
      </w:r>
      <w:r>
        <w:rPr>
          <w:rFonts w:ascii="Times New Roman" w:hAnsi="Times New Roman" w:cs="Times New Roman"/>
          <w:lang w:val="en-US"/>
        </w:rPr>
        <w:fldChar w:fldCharType="end"/>
      </w:r>
      <w:r>
        <w:rPr>
          <w:rFonts w:ascii="Times New Roman" w:hAnsi="Times New Roman" w:cs="Times New Roman"/>
          <w:lang w:val="en-US"/>
        </w:rPr>
        <w:t>.</w:t>
      </w:r>
      <w:r w:rsidRPr="00B57CAC">
        <w:rPr>
          <w:rFonts w:ascii="Times New Roman" w:hAnsi="Times New Roman" w:cs="Times New Roman"/>
          <w:lang w:val="en-GB"/>
        </w:rPr>
        <w:t xml:space="preserve"> </w:t>
      </w:r>
      <w:r w:rsidRPr="00B727A1">
        <w:rPr>
          <w:rFonts w:ascii="Times New Roman" w:hAnsi="Times New Roman" w:cs="Times New Roman"/>
          <w:lang w:val="en-GB"/>
        </w:rPr>
        <w:t xml:space="preserve">While </w:t>
      </w:r>
      <w:bookmarkStart w:id="1" w:name="_Hlk106629469"/>
      <w:r w:rsidRPr="00B727A1">
        <w:rPr>
          <w:rFonts w:ascii="Times New Roman" w:hAnsi="Times New Roman" w:cs="Times New Roman"/>
          <w:lang w:val="en-GB"/>
        </w:rPr>
        <w:t>institutio</w:t>
      </w:r>
      <w:r>
        <w:rPr>
          <w:rFonts w:ascii="Times New Roman" w:hAnsi="Times New Roman" w:cs="Times New Roman"/>
          <w:lang w:val="en-GB"/>
        </w:rPr>
        <w:t>ns</w:t>
      </w:r>
      <w:r w:rsidRPr="00B727A1">
        <w:rPr>
          <w:rFonts w:ascii="Times New Roman" w:hAnsi="Times New Roman" w:cs="Times New Roman"/>
          <w:lang w:val="en-GB"/>
        </w:rPr>
        <w:t xml:space="preserve"> </w:t>
      </w:r>
      <w:r>
        <w:rPr>
          <w:rFonts w:ascii="Times New Roman" w:hAnsi="Times New Roman" w:cs="Times New Roman"/>
          <w:lang w:val="en-GB"/>
        </w:rPr>
        <w:t>and policies</w:t>
      </w:r>
      <w:r w:rsidRPr="00B727A1">
        <w:rPr>
          <w:rFonts w:ascii="Times New Roman" w:hAnsi="Times New Roman" w:cs="Times New Roman"/>
          <w:lang w:val="en-GB"/>
        </w:rPr>
        <w:t xml:space="preserve"> are path-dependent and ‘locked</w:t>
      </w:r>
      <w:r>
        <w:rPr>
          <w:rFonts w:ascii="Times New Roman" w:hAnsi="Times New Roman" w:cs="Times New Roman"/>
          <w:lang w:val="en-GB"/>
        </w:rPr>
        <w:t xml:space="preserve"> in’</w:t>
      </w:r>
      <w:r w:rsidRPr="00B727A1">
        <w:rPr>
          <w:rFonts w:ascii="Times New Roman" w:hAnsi="Times New Roman" w:cs="Times New Roman"/>
          <w:lang w:val="en-GB"/>
        </w:rPr>
        <w:t xml:space="preserve"> to a certain pathway characteri</w:t>
      </w:r>
      <w:r>
        <w:rPr>
          <w:rFonts w:ascii="Times New Roman" w:hAnsi="Times New Roman" w:cs="Times New Roman"/>
          <w:lang w:val="en-GB"/>
        </w:rPr>
        <w:t>s</w:t>
      </w:r>
      <w:r w:rsidRPr="00B727A1">
        <w:rPr>
          <w:rFonts w:ascii="Times New Roman" w:hAnsi="Times New Roman" w:cs="Times New Roman"/>
          <w:lang w:val="en-GB"/>
        </w:rPr>
        <w:t>ed by self-reinforcing feedback effects</w:t>
      </w:r>
      <w:bookmarkEnd w:id="1"/>
      <w:r w:rsidRPr="00B727A1">
        <w:rPr>
          <w:rFonts w:ascii="Times New Roman" w:hAnsi="Times New Roman" w:cs="Times New Roman"/>
          <w:lang w:val="en-GB"/>
        </w:rPr>
        <w:t xml:space="preserve">, an exogenous shock may </w:t>
      </w:r>
      <w:r>
        <w:rPr>
          <w:rFonts w:ascii="Times New Roman" w:hAnsi="Times New Roman" w:cs="Times New Roman"/>
          <w:lang w:val="en-GB"/>
        </w:rPr>
        <w:t>trigger</w:t>
      </w:r>
      <w:r w:rsidRPr="00B727A1">
        <w:rPr>
          <w:rFonts w:ascii="Times New Roman" w:hAnsi="Times New Roman" w:cs="Times New Roman"/>
          <w:lang w:val="en-GB"/>
        </w:rPr>
        <w:t xml:space="preserve"> a shift away from existing path</w:t>
      </w:r>
      <w:r>
        <w:rPr>
          <w:rFonts w:ascii="Times New Roman" w:hAnsi="Times New Roman" w:cs="Times New Roman"/>
          <w:lang w:val="en-GB"/>
        </w:rPr>
        <w:t>s</w:t>
      </w:r>
      <w:r w:rsidRPr="00B727A1">
        <w:rPr>
          <w:rFonts w:ascii="Times New Roman" w:hAnsi="Times New Roman" w:cs="Times New Roman"/>
          <w:lang w:val="en-GB"/>
        </w:rPr>
        <w:t xml:space="preserve"> </w:t>
      </w:r>
      <w:r>
        <w:rPr>
          <w:rFonts w:ascii="Times New Roman" w:hAnsi="Times New Roman" w:cs="Times New Roman"/>
          <w:lang w:val="en-GB"/>
        </w:rPr>
        <w:t xml:space="preserve">towards new trajectories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&lt;EndNote&gt;&lt;Cite&gt;&lt;Author&gt;Fioretos&lt;/Author&gt;&lt;Year&gt;2016&lt;/Year&gt;&lt;RecNum&gt;825&lt;/RecNum&gt;&lt;DisplayText&gt;(Fioretos et al., 2016)&lt;/DisplayText&gt;&lt;record&gt;&lt;rec-number&gt;825&lt;/rec-number&gt;&lt;foreign-keys&gt;&lt;key app="EN" db-id="zap5wezzop9xpwe0awepz55lfafptea5pr2w" timestamp="1647253060"&gt;825&lt;/key&gt;&lt;/foreign-keys&gt;&lt;ref-type name="Journal Article"&gt;17&lt;/ref-type&gt;&lt;contributors&gt;&lt;authors&gt;&lt;author&gt;Fioretos, Orfeo&lt;/author&gt;&lt;author&gt;Falleti, Tulia G&lt;/author&gt;&lt;author&gt;Sheingate, Adam&lt;/author&gt;&lt;/authors&gt;&lt;/contributors&gt;&lt;titles&gt;&lt;title&gt;Historical institutionalism in political science&lt;/title&gt;&lt;secondary-title&gt;The Oxford handbook of historical institutionalism&lt;/secondary-title&gt;&lt;/titles&gt;&lt;periodical&gt;&lt;full-title&gt;The Oxford handbook of historical institutionalism&lt;/full-title&gt;&lt;/periodical&gt;&lt;pages&gt;4-28&lt;/pages&gt;&lt;dates&gt;&lt;year&gt;2016&lt;/year&gt;&lt;/dates&gt;&lt;urls&gt;&lt;/urls&gt;&lt;/record&gt;&lt;/Cite&gt;&lt;/EndNote&gt;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(Fioretos et al., 2016)</w:t>
      </w:r>
      <w:r>
        <w:rPr>
          <w:rFonts w:ascii="Times New Roman" w:hAnsi="Times New Roman" w:cs="Times New Roman"/>
          <w:lang w:val="en-GB"/>
        </w:rPr>
        <w:fldChar w:fldCharType="end"/>
      </w:r>
      <w:r w:rsidRPr="00B727A1">
        <w:rPr>
          <w:rFonts w:ascii="Times New Roman" w:hAnsi="Times New Roman" w:cs="Times New Roman"/>
          <w:lang w:val="en-GB"/>
        </w:rPr>
        <w:t>.</w:t>
      </w:r>
      <w:r>
        <w:rPr>
          <w:rFonts w:ascii="Times New Roman" w:hAnsi="Times New Roman" w:cs="Times New Roman"/>
          <w:lang w:val="en-GB"/>
        </w:rPr>
        <w:t xml:space="preserve"> C</w:t>
      </w:r>
      <w:r w:rsidRPr="00B57CAC">
        <w:rPr>
          <w:rFonts w:ascii="Times New Roman" w:hAnsi="Times New Roman" w:cs="Times New Roman"/>
          <w:lang w:val="en-GB"/>
        </w:rPr>
        <w:t xml:space="preserve">ritical junctures are events that act as </w:t>
      </w:r>
      <w:r>
        <w:rPr>
          <w:rFonts w:ascii="Times New Roman" w:hAnsi="Times New Roman" w:cs="Times New Roman"/>
          <w:lang w:val="en-GB"/>
        </w:rPr>
        <w:t>tipping</w:t>
      </w:r>
      <w:r w:rsidRPr="00B57CAC">
        <w:rPr>
          <w:rFonts w:ascii="Times New Roman" w:hAnsi="Times New Roman" w:cs="Times New Roman"/>
          <w:lang w:val="en-GB"/>
        </w:rPr>
        <w:t xml:space="preserve"> points </w:t>
      </w:r>
      <w:r>
        <w:rPr>
          <w:rFonts w:ascii="Times New Roman" w:hAnsi="Times New Roman" w:cs="Times New Roman"/>
          <w:lang w:val="en-GB"/>
        </w:rPr>
        <w:t xml:space="preserve">with </w:t>
      </w:r>
      <w:r w:rsidRPr="00B57CAC">
        <w:rPr>
          <w:rFonts w:ascii="Times New Roman" w:hAnsi="Times New Roman" w:cs="Times New Roman"/>
          <w:lang w:val="en-GB"/>
        </w:rPr>
        <w:t>a causal effect on future</w:t>
      </w:r>
      <w:r>
        <w:rPr>
          <w:rFonts w:ascii="Times New Roman" w:hAnsi="Times New Roman" w:cs="Times New Roman"/>
          <w:lang w:val="en-GB"/>
        </w:rPr>
        <w:t xml:space="preserve"> policy </w:t>
      </w:r>
      <w:r w:rsidRPr="00B57CAC">
        <w:rPr>
          <w:rFonts w:ascii="Times New Roman" w:hAnsi="Times New Roman" w:cs="Times New Roman"/>
          <w:lang w:val="en-GB"/>
        </w:rPr>
        <w:t xml:space="preserve">developments, shifting previous path dependencies </w:t>
      </w:r>
      <w:r>
        <w:rPr>
          <w:rFonts w:ascii="Times New Roman" w:hAnsi="Times New Roman" w:cs="Times New Roman"/>
          <w:lang w:val="en-GB"/>
        </w:rPr>
        <w:t>to</w:t>
      </w:r>
      <w:r w:rsidRPr="00B57CAC">
        <w:rPr>
          <w:rFonts w:ascii="Times New Roman" w:hAnsi="Times New Roman" w:cs="Times New Roman"/>
          <w:lang w:val="en-GB"/>
        </w:rPr>
        <w:t xml:space="preserve"> a new trajectory that leads to </w:t>
      </w:r>
      <w:r>
        <w:rPr>
          <w:rFonts w:ascii="Times New Roman" w:hAnsi="Times New Roman" w:cs="Times New Roman"/>
          <w:lang w:val="en-GB"/>
        </w:rPr>
        <w:t xml:space="preserve">qualitatively </w:t>
      </w:r>
      <w:r w:rsidRPr="00B57CAC">
        <w:rPr>
          <w:rFonts w:ascii="Times New Roman" w:hAnsi="Times New Roman" w:cs="Times New Roman"/>
          <w:lang w:val="en-GB"/>
        </w:rPr>
        <w:t>different</w:t>
      </w:r>
      <w:r>
        <w:rPr>
          <w:rFonts w:ascii="Times New Roman" w:hAnsi="Times New Roman" w:cs="Times New Roman"/>
          <w:lang w:val="en-GB"/>
        </w:rPr>
        <w:t xml:space="preserve"> </w:t>
      </w:r>
      <w:r w:rsidRPr="00B57CAC">
        <w:rPr>
          <w:rFonts w:ascii="Times New Roman" w:hAnsi="Times New Roman" w:cs="Times New Roman"/>
          <w:lang w:val="en-GB"/>
        </w:rPr>
        <w:t>outcomes. Therefore, critical junctures can only be identified in retrospect – the key</w:t>
      </w:r>
      <w:r>
        <w:rPr>
          <w:rFonts w:ascii="Times New Roman" w:hAnsi="Times New Roman" w:cs="Times New Roman"/>
          <w:lang w:val="en-GB"/>
        </w:rPr>
        <w:t xml:space="preserve"> </w:t>
      </w:r>
      <w:r w:rsidRPr="00B57CAC">
        <w:rPr>
          <w:rFonts w:ascii="Times New Roman" w:hAnsi="Times New Roman" w:cs="Times New Roman"/>
          <w:lang w:val="en-GB"/>
        </w:rPr>
        <w:t xml:space="preserve">indicator is whether they </w:t>
      </w:r>
      <w:r w:rsidRPr="00525A90">
        <w:rPr>
          <w:rFonts w:ascii="Times New Roman" w:hAnsi="Times New Roman" w:cs="Times New Roman"/>
          <w:i/>
          <w:iCs/>
          <w:lang w:val="en-GB"/>
        </w:rPr>
        <w:t>did</w:t>
      </w:r>
      <w:r w:rsidRPr="00B57CAC">
        <w:rPr>
          <w:rFonts w:ascii="Times New Roman" w:hAnsi="Times New Roman" w:cs="Times New Roman"/>
          <w:lang w:val="en-GB"/>
        </w:rPr>
        <w:t xml:space="preserve"> have a causal impact on future events or not</w:t>
      </w:r>
      <w:r>
        <w:rPr>
          <w:rFonts w:ascii="Times New Roman" w:hAnsi="Times New Roman" w:cs="Times New Roman"/>
          <w:lang w:val="en-GB"/>
        </w:rPr>
        <w:t xml:space="preserve">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&lt;EndNote&gt;&lt;Cite&gt;&lt;Author&gt;Dupont&lt;/Author&gt;&lt;Year&gt;2020&lt;/Year&gt;&lt;RecNum&gt;207&lt;/RecNum&gt;&lt;DisplayText&gt;(Dupont et al., 2020)&lt;/DisplayText&gt;&lt;record&gt;&lt;rec-number&gt;207&lt;/rec-number&gt;&lt;foreign-keys&gt;&lt;key app="EN" db-id="zap5wezzop9xpwe0awepz55lfafptea5pr2w" timestamp="1613591389"&gt;207&lt;/key&gt;&lt;/foreign-keys&gt;&lt;ref-type name="Journal Article"&gt;17&lt;/ref-type&gt;&lt;contributors&gt;&lt;authors&gt;&lt;author&gt;Dupont, Claire&lt;/author&gt;&lt;author&gt;Oberthür, Sebastian&lt;/author&gt;&lt;author&gt;von Homeyer, Ingmar&lt;/author&gt;&lt;/authors&gt;&lt;/contributors&gt;&lt;titles&gt;&lt;title&gt;The Covid-19 crisis: a critical juncture for EU climate policy development?&lt;/title&gt;&lt;secondary-title&gt;Journal of European Integration&lt;/secondary-title&gt;&lt;/titles&gt;&lt;periodical&gt;&lt;full-title&gt;Journal of European Integration&lt;/full-title&gt;&lt;/periodical&gt;&lt;pages&gt;1095-1110&lt;/pages&gt;&lt;volume&gt;42&lt;/volume&gt;&lt;number&gt;8&lt;/number&gt;&lt;dates&gt;&lt;year&gt;2020&lt;/year&gt;&lt;/dates&gt;&lt;isbn&gt;0703-6337&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(Dupont et al., 2020)</w:t>
      </w:r>
      <w:r>
        <w:rPr>
          <w:rFonts w:ascii="Times New Roman" w:hAnsi="Times New Roman" w:cs="Times New Roman"/>
          <w:lang w:val="en-GB"/>
        </w:rPr>
        <w:fldChar w:fldCharType="end"/>
      </w:r>
      <w:r w:rsidRPr="00B57CAC">
        <w:rPr>
          <w:rFonts w:ascii="Times New Roman" w:hAnsi="Times New Roman" w:cs="Times New Roman"/>
          <w:lang w:val="en-GB"/>
        </w:rPr>
        <w:t>.</w:t>
      </w:r>
      <w:r>
        <w:rPr>
          <w:rFonts w:ascii="Times New Roman" w:hAnsi="Times New Roman" w:cs="Times New Roman"/>
          <w:lang w:val="en-GB"/>
        </w:rPr>
        <w:t xml:space="preserve"> </w:t>
      </w:r>
      <w:r w:rsidRPr="00853435">
        <w:rPr>
          <w:rFonts w:ascii="Times New Roman" w:hAnsi="Times New Roman" w:cs="Times New Roman"/>
          <w:lang w:val="en-GB"/>
        </w:rPr>
        <w:t xml:space="preserve">Applied to policy analysis, critical junctures are often </w:t>
      </w:r>
      <w:r>
        <w:rPr>
          <w:rFonts w:ascii="Times New Roman" w:hAnsi="Times New Roman" w:cs="Times New Roman"/>
          <w:lang w:val="en-GB"/>
        </w:rPr>
        <w:t>associated with</w:t>
      </w:r>
      <w:r w:rsidRPr="00853435">
        <w:rPr>
          <w:rFonts w:ascii="Times New Roman" w:hAnsi="Times New Roman" w:cs="Times New Roman"/>
          <w:lang w:val="en-GB"/>
        </w:rPr>
        <w:t xml:space="preserve"> periods of crisis, confronting policy makers with strong pressure to make decisions under </w:t>
      </w:r>
      <w:r>
        <w:rPr>
          <w:rFonts w:ascii="Times New Roman" w:hAnsi="Times New Roman" w:cs="Times New Roman"/>
          <w:lang w:val="en-GB"/>
        </w:rPr>
        <w:t xml:space="preserve">high </w:t>
      </w:r>
      <w:r w:rsidRPr="00853435">
        <w:rPr>
          <w:rFonts w:ascii="Times New Roman" w:hAnsi="Times New Roman" w:cs="Times New Roman"/>
          <w:lang w:val="en-GB"/>
        </w:rPr>
        <w:t>uncertainty</w:t>
      </w:r>
      <w:r>
        <w:rPr>
          <w:rFonts w:ascii="Times New Roman" w:hAnsi="Times New Roman" w:cs="Times New Roman"/>
          <w:lang w:val="en-GB"/>
        </w:rPr>
        <w:t xml:space="preserve">. </w:t>
      </w:r>
      <w:r w:rsidRPr="007738C2">
        <w:rPr>
          <w:rFonts w:ascii="Times New Roman" w:hAnsi="Times New Roman" w:cs="Times New Roman"/>
          <w:lang w:val="en-GB"/>
        </w:rPr>
        <w:t xml:space="preserve">While early critical juncture contributions </w:t>
      </w:r>
      <w:r>
        <w:rPr>
          <w:rFonts w:ascii="Times New Roman" w:hAnsi="Times New Roman" w:cs="Times New Roman"/>
          <w:lang w:val="en-GB"/>
        </w:rPr>
        <w:t>underlined</w:t>
      </w:r>
      <w:r w:rsidRPr="007738C2">
        <w:rPr>
          <w:rFonts w:ascii="Times New Roman" w:hAnsi="Times New Roman" w:cs="Times New Roman"/>
          <w:lang w:val="en-GB"/>
        </w:rPr>
        <w:t xml:space="preserve"> the increased freedom of actors to make consequential choices during windows of opportunity, </w:t>
      </w:r>
      <w:r>
        <w:rPr>
          <w:rFonts w:ascii="Times New Roman" w:hAnsi="Times New Roman" w:cs="Times New Roman"/>
          <w:lang w:val="en-GB"/>
        </w:rPr>
        <w:t>recent</w:t>
      </w:r>
      <w:r w:rsidRPr="007738C2">
        <w:rPr>
          <w:rFonts w:ascii="Times New Roman" w:hAnsi="Times New Roman" w:cs="Times New Roman"/>
          <w:lang w:val="en-GB"/>
        </w:rPr>
        <w:t xml:space="preserve"> work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&lt;EndNote&gt;&lt;Cite&gt;&lt;Author&gt;Geels&lt;/Author&gt;&lt;Year&gt;2022&lt;/Year&gt;&lt;RecNum&gt;821&lt;/RecNum&gt;&lt;DisplayText&gt;(Geels et al., 2022)&lt;/DisplayText&gt;&lt;record&gt;&lt;rec-number&gt;821&lt;/rec-number&gt;&lt;foreign-keys&gt;&lt;key app="EN" db-id="zap5wezzop9xpwe0awepz55lfafptea5pr2w" timestamp="1647182925"&gt;821&lt;/key&gt;&lt;/foreign-keys&gt;&lt;ref-type name="Journal Article"&gt;17&lt;/ref-type&gt;&lt;contributors&gt;&lt;authors&gt;&lt;author&gt;Geels, Frank W&lt;/author&gt;&lt;author&gt;Pereira, Guillermo Ivan&lt;/author&gt;&lt;author&gt;Pinkse, Jonatan&lt;/author&gt;&lt;/authors&gt;&lt;/contributors&gt;&lt;titles&gt;&lt;title&gt;Moving beyond opportunity narratives in COVID-19 green recoveries: A comparative analysis of public investment plans in France, Germany, and the United Kingdom&lt;/title&gt;&lt;secondary-title&gt;Energy Research &amp;amp; Social Science&lt;/secondary-title&gt;&lt;/titles&gt;&lt;periodical&gt;&lt;full-title&gt;Energy Research &amp;amp; Social Science&lt;/full-title&gt;&lt;abbr-1&gt;Energy Research &amp;amp; Social Science&lt;/abbr-1&gt;&lt;/periodical&gt;&lt;pages&gt;102368&lt;/pages&gt;&lt;volume&gt;84&lt;/volume&gt;&lt;dates&gt;&lt;year&gt;2022&lt;/year&gt;&lt;/dates&gt;&lt;isbn&gt;2214-6296&lt;/isbn&gt;&lt;urls&gt;&lt;/urls&gt;&lt;/record&gt;&lt;/Cite&gt;&lt;/EndNote&gt;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(Geels et al., 2022)</w:t>
      </w:r>
      <w:r>
        <w:rPr>
          <w:rFonts w:ascii="Times New Roman" w:hAnsi="Times New Roman" w:cs="Times New Roman"/>
          <w:lang w:val="en-GB"/>
        </w:rPr>
        <w:fldChar w:fldCharType="end"/>
      </w:r>
      <w:r>
        <w:rPr>
          <w:rFonts w:ascii="Times New Roman" w:hAnsi="Times New Roman" w:cs="Times New Roman"/>
          <w:lang w:val="en-GB"/>
        </w:rPr>
        <w:t xml:space="preserve"> </w:t>
      </w:r>
      <w:r w:rsidRPr="007738C2">
        <w:rPr>
          <w:rFonts w:ascii="Times New Roman" w:hAnsi="Times New Roman" w:cs="Times New Roman"/>
          <w:lang w:val="en-GB"/>
        </w:rPr>
        <w:t>highlight</w:t>
      </w:r>
      <w:r>
        <w:rPr>
          <w:rFonts w:ascii="Times New Roman" w:hAnsi="Times New Roman" w:cs="Times New Roman"/>
          <w:lang w:val="en-GB"/>
        </w:rPr>
        <w:t>s</w:t>
      </w:r>
      <w:r w:rsidRPr="007738C2">
        <w:rPr>
          <w:rFonts w:ascii="Times New Roman" w:hAnsi="Times New Roman" w:cs="Times New Roman"/>
          <w:lang w:val="en-GB"/>
        </w:rPr>
        <w:t xml:space="preserve"> the role of </w:t>
      </w:r>
      <w:r>
        <w:rPr>
          <w:rFonts w:ascii="Times New Roman" w:hAnsi="Times New Roman" w:cs="Times New Roman"/>
          <w:lang w:val="en-GB"/>
        </w:rPr>
        <w:t>“</w:t>
      </w:r>
      <w:r w:rsidRPr="007738C2">
        <w:rPr>
          <w:rFonts w:ascii="Times New Roman" w:hAnsi="Times New Roman" w:cs="Times New Roman"/>
          <w:lang w:val="en-GB"/>
        </w:rPr>
        <w:t>constraining context</w:t>
      </w:r>
      <w:r>
        <w:rPr>
          <w:rFonts w:ascii="Times New Roman" w:hAnsi="Times New Roman" w:cs="Times New Roman"/>
          <w:lang w:val="en-GB"/>
        </w:rPr>
        <w:t xml:space="preserve">s”, including “productive conditions” </w:t>
      </w:r>
      <w:r w:rsidRPr="007738C2">
        <w:rPr>
          <w:rFonts w:ascii="Times New Roman" w:hAnsi="Times New Roman" w:cs="Times New Roman"/>
          <w:lang w:val="en-GB"/>
        </w:rPr>
        <w:t>(</w:t>
      </w:r>
      <w:r>
        <w:rPr>
          <w:rFonts w:ascii="Times New Roman" w:hAnsi="Times New Roman" w:cs="Times New Roman"/>
          <w:lang w:val="en-GB"/>
        </w:rPr>
        <w:t>i.e.</w:t>
      </w:r>
      <w:r w:rsidRPr="007738C2">
        <w:rPr>
          <w:rFonts w:ascii="Times New Roman" w:hAnsi="Times New Roman" w:cs="Times New Roman"/>
          <w:lang w:val="en-GB"/>
        </w:rPr>
        <w:t xml:space="preserve"> the strategic considerations and actions through which actors aim to use policy windows), and </w:t>
      </w:r>
      <w:r>
        <w:rPr>
          <w:rFonts w:ascii="Times New Roman" w:hAnsi="Times New Roman" w:cs="Times New Roman"/>
          <w:lang w:val="en-GB"/>
        </w:rPr>
        <w:t>“</w:t>
      </w:r>
      <w:r w:rsidRPr="007738C2">
        <w:rPr>
          <w:rFonts w:ascii="Times New Roman" w:hAnsi="Times New Roman" w:cs="Times New Roman"/>
          <w:lang w:val="en-GB"/>
        </w:rPr>
        <w:t>critical antecedents</w:t>
      </w:r>
      <w:r>
        <w:rPr>
          <w:rFonts w:ascii="Times New Roman" w:hAnsi="Times New Roman" w:cs="Times New Roman"/>
          <w:lang w:val="en-GB"/>
        </w:rPr>
        <w:t>”</w:t>
      </w:r>
      <w:r w:rsidRPr="007738C2">
        <w:rPr>
          <w:rFonts w:ascii="Times New Roman" w:hAnsi="Times New Roman" w:cs="Times New Roman"/>
          <w:lang w:val="en-GB"/>
        </w:rPr>
        <w:t xml:space="preserve"> (</w:t>
      </w:r>
      <w:r>
        <w:rPr>
          <w:rFonts w:ascii="Times New Roman" w:hAnsi="Times New Roman" w:cs="Times New Roman"/>
          <w:lang w:val="en-GB"/>
        </w:rPr>
        <w:t>i.e.</w:t>
      </w:r>
      <w:r w:rsidRPr="007738C2">
        <w:rPr>
          <w:rFonts w:ascii="Times New Roman" w:hAnsi="Times New Roman" w:cs="Times New Roman"/>
          <w:lang w:val="en-GB"/>
        </w:rPr>
        <w:t xml:space="preserve"> the pre-existing contexts, positions, plans and concerns that shape and constrain these activities)</w:t>
      </w:r>
      <w:r>
        <w:rPr>
          <w:rFonts w:ascii="Times New Roman" w:hAnsi="Times New Roman" w:cs="Times New Roman"/>
          <w:lang w:val="en-GB"/>
        </w:rPr>
        <w:t xml:space="preserve">. Constraining context elements affecting actors´ behaviour have to be considered when analysing critical junctures </w:t>
      </w:r>
      <w:r>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&lt;EndNote&gt;&lt;Cite&gt;&lt;Author&gt;Geels&lt;/Author&gt;&lt;Year&gt;2022&lt;/Year&gt;&lt;RecNum&gt;821&lt;/RecNum&gt;&lt;DisplayText&gt;(Geels et al., 2022)&lt;/DisplayText&gt;&lt;record&gt;&lt;rec-number&gt;821&lt;/rec-number&gt;&lt;foreign-keys&gt;&lt;key app="EN" db-id="zap5wezzop9xpwe0awepz55lfafptea5pr2w" timestamp="1647182925"&gt;821&lt;/key&gt;&lt;/foreign-keys&gt;&lt;ref-type name="Journal Article"&gt;17&lt;/ref-type&gt;&lt;contributors&gt;&lt;authors&gt;&lt;author&gt;Geels, Frank W&lt;/author&gt;&lt;author&gt;Pereira, Guillermo Ivan&lt;/author&gt;&lt;author&gt;Pinkse, Jonatan&lt;/author&gt;&lt;/authors&gt;&lt;/contributors&gt;&lt;titles&gt;&lt;title&gt;Moving beyond opportunity narratives in COVID-19 green recoveries: A comparative analysis of public investment plans in France, Germany, and the United Kingdom&lt;/title&gt;&lt;secondary-title&gt;Energy Research &amp;amp; Social Science&lt;/secondary-title&gt;&lt;/titles&gt;&lt;periodical&gt;&lt;full-title&gt;Energy Research &amp;amp; Social Science&lt;/full-title&gt;&lt;abbr-1&gt;Energy Research &amp;amp; Social Science&lt;/abbr-1&gt;&lt;/periodical&gt;&lt;pages&gt;102368&lt;/pages&gt;&lt;volume&gt;84&lt;/volume&gt;&lt;dates&gt;&lt;year&gt;2022&lt;/year&gt;&lt;/dates&gt;&lt;isbn&gt;2214-6296&lt;/isbn&gt;&lt;urls&gt;&lt;/urls&gt;&lt;/record&gt;&lt;/Cite&gt;&lt;/EndNote&gt;</w:instrText>
      </w:r>
      <w:r>
        <w:rPr>
          <w:rFonts w:ascii="Times New Roman" w:hAnsi="Times New Roman" w:cs="Times New Roman"/>
          <w:lang w:val="en-GB"/>
        </w:rPr>
        <w:fldChar w:fldCharType="separate"/>
      </w:r>
      <w:r>
        <w:rPr>
          <w:rFonts w:ascii="Times New Roman" w:hAnsi="Times New Roman" w:cs="Times New Roman"/>
          <w:noProof/>
          <w:lang w:val="en-GB"/>
        </w:rPr>
        <w:t>(Geels et al., 2022)</w:t>
      </w:r>
      <w:r>
        <w:rPr>
          <w:rFonts w:ascii="Times New Roman" w:hAnsi="Times New Roman" w:cs="Times New Roman"/>
          <w:lang w:val="en-GB"/>
        </w:rPr>
        <w:fldChar w:fldCharType="end"/>
      </w:r>
      <w:r>
        <w:rPr>
          <w:rFonts w:ascii="Times New Roman" w:hAnsi="Times New Roman" w:cs="Times New Roman"/>
          <w:lang w:val="en-GB"/>
        </w:rPr>
        <w:t xml:space="preserve">. </w:t>
      </w:r>
    </w:p>
    <w:p w14:paraId="471248D1" w14:textId="77777777" w:rsidR="00FB58CB" w:rsidRPr="00EE491E" w:rsidRDefault="00FB58CB" w:rsidP="00FB58CB">
      <w:pPr>
        <w:spacing w:line="360" w:lineRule="auto"/>
        <w:jc w:val="both"/>
        <w:rPr>
          <w:rFonts w:ascii="Times New Roman" w:hAnsi="Times New Roman" w:cs="Times New Roman"/>
          <w:lang w:val="en-US"/>
        </w:rPr>
      </w:pPr>
      <w:r w:rsidRPr="00EE491E">
        <w:rPr>
          <w:rFonts w:ascii="Times New Roman" w:hAnsi="Times New Roman" w:cs="Times New Roman"/>
          <w:lang w:val="en-US"/>
        </w:rPr>
        <w:t>The impact of the economic cris</w:t>
      </w:r>
      <w:r>
        <w:rPr>
          <w:rFonts w:ascii="Times New Roman" w:hAnsi="Times New Roman" w:cs="Times New Roman"/>
          <w:lang w:val="en-US"/>
        </w:rPr>
        <w:t>e</w:t>
      </w:r>
      <w:r w:rsidRPr="00EE491E">
        <w:rPr>
          <w:rFonts w:ascii="Times New Roman" w:hAnsi="Times New Roman" w:cs="Times New Roman"/>
          <w:lang w:val="en-US"/>
        </w:rPr>
        <w:t xml:space="preserve">s on European climate and energy policy has been the subject of previous research. For the EU level, </w:t>
      </w:r>
      <w:r>
        <w:rPr>
          <w:rFonts w:ascii="Times New Roman" w:hAnsi="Times New Roman" w:cs="Times New Roman"/>
          <w:lang w:val="en-US"/>
        </w:rPr>
        <w:fldChar w:fldCharType="begin"/>
      </w:r>
      <w:r>
        <w:rPr>
          <w:rFonts w:ascii="Times New Roman" w:hAnsi="Times New Roman" w:cs="Times New Roman"/>
          <w:lang w:val="en-US"/>
        </w:rPr>
        <w:instrText xml:space="preserve"> ADDIN EN.CITE &lt;EndNote&gt;&lt;Cite AuthorYear="1"&gt;&lt;Author&gt;Skovgaard&lt;/Author&gt;&lt;Year&gt;2014&lt;/Year&gt;&lt;RecNum&gt;811&lt;/RecNum&gt;&lt;DisplayText&gt;Skovgaard (2014)&lt;/DisplayText&gt;&lt;record&gt;&lt;rec-number&gt;811&lt;/rec-number&gt;&lt;foreign-keys&gt;&lt;key app="EN" db-id="zap5wezzop9xpwe0awepz55lfafptea5pr2w" timestamp="1646834368"&gt;811&lt;/key&gt;&lt;/foreign-keys&gt;&lt;ref-type name="Journal Article"&gt;17&lt;/ref-type&gt;&lt;contributors&gt;&lt;authors&gt;&lt;author&gt;Skovgaard, Jakob&lt;/author&gt;&lt;/authors&gt;&lt;/contributors&gt;&lt;titles&gt;&lt;title&gt;EU climate policy after the crisis&lt;/title&gt;&lt;secondary-title&gt;Environmental Politics&lt;/secondary-title&gt;&lt;/titles&gt;&lt;periodical&gt;&lt;full-title&gt;Environmental Politics&lt;/full-title&gt;&lt;abbr-1&gt;Environmental Politics&lt;/abbr-1&gt;&lt;/periodical&gt;&lt;pages&gt;1-17&lt;/pages&gt;&lt;volume&gt;23&lt;/volume&gt;&lt;number&gt;1&lt;/number&gt;&lt;dates&gt;&lt;year&gt;2014&lt;/year&gt;&lt;/dates&gt;&lt;isbn&gt;0964-4016&lt;/isbn&gt;&lt;urls&gt;&lt;/urls&gt;&lt;/record&gt;&lt;/Cite&gt;&lt;/EndNote&gt;</w:instrText>
      </w:r>
      <w:r>
        <w:rPr>
          <w:rFonts w:ascii="Times New Roman" w:hAnsi="Times New Roman" w:cs="Times New Roman"/>
          <w:lang w:val="en-US"/>
        </w:rPr>
        <w:fldChar w:fldCharType="separate"/>
      </w:r>
      <w:r>
        <w:rPr>
          <w:rFonts w:ascii="Times New Roman" w:hAnsi="Times New Roman" w:cs="Times New Roman"/>
          <w:noProof/>
          <w:lang w:val="en-US"/>
        </w:rPr>
        <w:t>Skovgaard (2014)</w:t>
      </w:r>
      <w:r>
        <w:rPr>
          <w:rFonts w:ascii="Times New Roman" w:hAnsi="Times New Roman" w:cs="Times New Roman"/>
          <w:lang w:val="en-US"/>
        </w:rPr>
        <w:fldChar w:fldCharType="end"/>
      </w:r>
      <w:r w:rsidRPr="00EE491E">
        <w:rPr>
          <w:rFonts w:ascii="Times New Roman" w:hAnsi="Times New Roman" w:cs="Times New Roman"/>
          <w:lang w:val="en-US"/>
        </w:rPr>
        <w:t xml:space="preserve"> found that the GFC has imposed significant fiscal constraints on the member states and resulted in the emergence of two opposing policy frames with regards to more ambitious emission reduction targets: a ‘trade-off policy frame’ that regards climate policy as detrimental to economic growth, and a ‘green growth policy frame’ that sees it as beneficial to growth. These contrasting positions made it impossible after 2010 to find consensus on higher EU </w:t>
      </w:r>
      <w:r>
        <w:rPr>
          <w:rFonts w:ascii="Times New Roman" w:hAnsi="Times New Roman" w:cs="Times New Roman"/>
          <w:lang w:val="en-US"/>
        </w:rPr>
        <w:lastRenderedPageBreak/>
        <w:t xml:space="preserve">emission </w:t>
      </w:r>
      <w:r w:rsidRPr="00EE491E">
        <w:rPr>
          <w:rFonts w:ascii="Times New Roman" w:hAnsi="Times New Roman" w:cs="Times New Roman"/>
          <w:lang w:val="en-US"/>
        </w:rPr>
        <w:t xml:space="preserve">reduction targets for 2020; exacerbated by the fact that many member states, including </w:t>
      </w:r>
      <w:r w:rsidRPr="00715656">
        <w:rPr>
          <w:rFonts w:ascii="Times New Roman" w:hAnsi="Times New Roman" w:cs="Times New Roman"/>
          <w:lang w:val="en-US"/>
        </w:rPr>
        <w:t xml:space="preserve">Germany, were internally divided between environment and economy ministries on this matter </w:t>
      </w:r>
      <w:r w:rsidRPr="00715656">
        <w:rPr>
          <w:rFonts w:ascii="Times New Roman" w:hAnsi="Times New Roman" w:cs="Times New Roman"/>
          <w:lang w:val="en-US"/>
        </w:rPr>
        <w:fldChar w:fldCharType="begin"/>
      </w:r>
      <w:r>
        <w:rPr>
          <w:rFonts w:ascii="Times New Roman" w:hAnsi="Times New Roman" w:cs="Times New Roman"/>
          <w:lang w:val="en-US"/>
        </w:rPr>
        <w:instrText xml:space="preserve"> ADDIN EN.CITE &lt;EndNote&gt;&lt;Cite&gt;&lt;Author&gt;Ollier&lt;/Author&gt;&lt;Year&gt;2022&lt;/Year&gt;&lt;RecNum&gt;849&lt;/RecNum&gt;&lt;DisplayText&gt;(Ollier et al., 2022)&lt;/DisplayText&gt;&lt;record&gt;&lt;rec-number&gt;849&lt;/rec-number&gt;&lt;foreign-keys&gt;&lt;key app="EN" db-id="zap5wezzop9xpwe0awepz55lfafptea5pr2w" timestamp="1647528213"&gt;849&lt;/key&gt;&lt;/foreign-keys&gt;&lt;ref-type name="Journal Article"&gt;17&lt;/ref-type&gt;&lt;contributors&gt;&lt;authors&gt;&lt;author&gt;Ollier, Lana&lt;/author&gt;&lt;author&gt;Metz, Florence&lt;/author&gt;&lt;author&gt;Nuñez-Jimenez, Alejandro&lt;/author&gt;&lt;author&gt;Späth, Leonhard&lt;/author&gt;&lt;author&gt;Lilliestam, Johan&lt;/author&gt;&lt;/authors&gt;&lt;/contributors&gt;&lt;titles&gt;&lt;title&gt;The European 2030 climate and energy package: do domestic strategy adaptations precede EU policy change?&lt;/title&gt;&lt;secondary-title&gt;Policy sciences&lt;/secondary-title&gt;&lt;/titles&gt;&lt;periodical&gt;&lt;full-title&gt;Policy Sciences&lt;/full-title&gt;&lt;abbr-1&gt;Policy Sciences&lt;/abbr-1&gt;&lt;/periodical&gt;&lt;pages&gt;1-24&lt;/pages&gt;&lt;dates&gt;&lt;year&gt;2022&lt;/year&gt;&lt;/dates&gt;&lt;isbn&gt;1573-0891&lt;/isbn&gt;&lt;urls&gt;&lt;/urls&gt;&lt;/record&gt;&lt;/Cite&gt;&lt;/EndNote&gt;</w:instrText>
      </w:r>
      <w:r w:rsidRPr="00715656">
        <w:rPr>
          <w:rFonts w:ascii="Times New Roman" w:hAnsi="Times New Roman" w:cs="Times New Roman"/>
          <w:lang w:val="en-US"/>
        </w:rPr>
        <w:fldChar w:fldCharType="separate"/>
      </w:r>
      <w:r>
        <w:rPr>
          <w:rFonts w:ascii="Times New Roman" w:hAnsi="Times New Roman" w:cs="Times New Roman"/>
          <w:noProof/>
          <w:lang w:val="en-US"/>
        </w:rPr>
        <w:t>(Ollier et al., 2022)</w:t>
      </w:r>
      <w:r w:rsidRPr="00715656">
        <w:rPr>
          <w:rFonts w:ascii="Times New Roman" w:hAnsi="Times New Roman" w:cs="Times New Roman"/>
          <w:lang w:val="en-US"/>
        </w:rPr>
        <w:fldChar w:fldCharType="end"/>
      </w:r>
      <w:r w:rsidRPr="00715656">
        <w:rPr>
          <w:rFonts w:ascii="Times New Roman" w:hAnsi="Times New Roman" w:cs="Times New Roman"/>
          <w:lang w:val="en-US"/>
        </w:rPr>
        <w:t xml:space="preserve">. </w:t>
      </w:r>
      <w:r w:rsidRPr="00715656">
        <w:rPr>
          <w:rFonts w:ascii="Times New Roman" w:hAnsi="Times New Roman" w:cs="Times New Roman"/>
          <w:lang w:val="en-US"/>
        </w:rPr>
        <w:fldChar w:fldCharType="begin"/>
      </w:r>
      <w:r>
        <w:rPr>
          <w:rFonts w:ascii="Times New Roman" w:hAnsi="Times New Roman" w:cs="Times New Roman"/>
          <w:lang w:val="en-US"/>
        </w:rPr>
        <w:instrText xml:space="preserve"> ADDIN EN.CITE &lt;EndNote&gt;&lt;Cite AuthorYear="1"&gt;&lt;Author&gt;Slominski&lt;/Author&gt;&lt;Year&gt;2016&lt;/Year&gt;&lt;RecNum&gt;814&lt;/RecNum&gt;&lt;DisplayText&gt;Slominski (2016)&lt;/DisplayText&gt;&lt;record&gt;&lt;rec-number&gt;814&lt;/rec-number&gt;&lt;foreign-keys&gt;&lt;key app="EN" db-id="zap5wezzop9xpwe0awepz55lfafptea5pr2w" timestamp="1646834845"&gt;814&lt;/key&gt;&lt;/foreign-keys&gt;&lt;ref-type name="Journal Article"&gt;17&lt;/ref-type&gt;&lt;contributors&gt;&lt;authors&gt;&lt;author&gt;Slominski, Peter&lt;/author&gt;&lt;/authors&gt;&lt;/contributors&gt;&lt;titles&gt;&lt;title&gt;Energy and climate policy: does the competitiveness narrative prevail in times of crisis?&lt;/title&gt;&lt;secondary-title&gt;Journal of European Integration&lt;/secondary-title&gt;&lt;/titles&gt;&lt;periodical&gt;&lt;full-title&gt;Journal of European Integration&lt;/full-title&gt;&lt;/periodical&gt;&lt;pages&gt;343-357&lt;/pages&gt;&lt;volume&gt;38&lt;/volume&gt;&lt;number&gt;3&lt;/number&gt;&lt;dates&gt;&lt;year&gt;2016&lt;/year&gt;&lt;/dates&gt;&lt;isbn&gt;0703-6337&lt;/isbn&gt;&lt;urls&gt;&lt;/urls&gt;&lt;/record&gt;&lt;/Cite&gt;&lt;/EndNote&gt;</w:instrText>
      </w:r>
      <w:r w:rsidRPr="00715656">
        <w:rPr>
          <w:rFonts w:ascii="Times New Roman" w:hAnsi="Times New Roman" w:cs="Times New Roman"/>
          <w:lang w:val="en-US"/>
        </w:rPr>
        <w:fldChar w:fldCharType="separate"/>
      </w:r>
      <w:r>
        <w:rPr>
          <w:rFonts w:ascii="Times New Roman" w:hAnsi="Times New Roman" w:cs="Times New Roman"/>
          <w:noProof/>
          <w:lang w:val="en-US"/>
        </w:rPr>
        <w:t>Slominski (2016)</w:t>
      </w:r>
      <w:r w:rsidRPr="00715656">
        <w:rPr>
          <w:rFonts w:ascii="Times New Roman" w:hAnsi="Times New Roman" w:cs="Times New Roman"/>
          <w:lang w:val="en-US"/>
        </w:rPr>
        <w:fldChar w:fldCharType="end"/>
      </w:r>
      <w:r w:rsidRPr="00715656">
        <w:rPr>
          <w:rFonts w:ascii="Times New Roman" w:hAnsi="Times New Roman" w:cs="Times New Roman"/>
          <w:lang w:val="en-US"/>
        </w:rPr>
        <w:t xml:space="preserve"> confirmed these findings adding that the crisis has altered the hierarchy of priorities on the EU policy agenda, leading policymakers to pay more attention to economic problems at the expense of climate</w:t>
      </w:r>
      <w:r w:rsidRPr="00EE491E">
        <w:rPr>
          <w:rFonts w:ascii="Times New Roman" w:hAnsi="Times New Roman" w:cs="Times New Roman"/>
          <w:lang w:val="en-US"/>
        </w:rPr>
        <w:t xml:space="preserve"> change mitigation policy. In addition, he </w:t>
      </w:r>
      <w:r>
        <w:rPr>
          <w:rFonts w:ascii="Times New Roman" w:hAnsi="Times New Roman" w:cs="Times New Roman"/>
          <w:lang w:val="en-US"/>
        </w:rPr>
        <w:t xml:space="preserve">argued </w:t>
      </w:r>
      <w:r w:rsidRPr="00EE491E">
        <w:rPr>
          <w:rFonts w:ascii="Times New Roman" w:hAnsi="Times New Roman" w:cs="Times New Roman"/>
          <w:lang w:val="en-US"/>
        </w:rPr>
        <w:t>that the crisis has given more weight to concerns about the costs of ambitious climate policy, strengthening the</w:t>
      </w:r>
      <w:r>
        <w:rPr>
          <w:rFonts w:ascii="Times New Roman" w:hAnsi="Times New Roman" w:cs="Times New Roman"/>
          <w:lang w:val="en-US"/>
        </w:rPr>
        <w:t xml:space="preserve"> trade-off narrative, </w:t>
      </w:r>
      <w:r w:rsidRPr="00EE491E">
        <w:rPr>
          <w:rFonts w:ascii="Times New Roman" w:hAnsi="Times New Roman" w:cs="Times New Roman"/>
          <w:lang w:val="en-US"/>
        </w:rPr>
        <w:t xml:space="preserve">particularly for member states </w:t>
      </w:r>
      <w:r>
        <w:rPr>
          <w:rFonts w:ascii="Times New Roman" w:hAnsi="Times New Roman" w:cs="Times New Roman"/>
          <w:lang w:val="en-US"/>
        </w:rPr>
        <w:t xml:space="preserve">that </w:t>
      </w:r>
      <w:r w:rsidRPr="00EE491E">
        <w:rPr>
          <w:rFonts w:ascii="Times New Roman" w:hAnsi="Times New Roman" w:cs="Times New Roman"/>
          <w:lang w:val="en-US"/>
        </w:rPr>
        <w:t xml:space="preserve">were environmental </w:t>
      </w:r>
      <w:r>
        <w:rPr>
          <w:rFonts w:ascii="Times New Roman" w:hAnsi="Times New Roman" w:cs="Times New Roman"/>
          <w:lang w:val="en-US"/>
        </w:rPr>
        <w:t xml:space="preserve">policy </w:t>
      </w:r>
      <w:r w:rsidRPr="00EE491E">
        <w:rPr>
          <w:rFonts w:ascii="Times New Roman" w:hAnsi="Times New Roman" w:cs="Times New Roman"/>
          <w:lang w:val="en-US"/>
        </w:rPr>
        <w:t xml:space="preserve">laggards before the crisis. Nevertheless, he concludes that the crisis has not fundamentally changed the trajectory of EU climate and energy policy, exemplified by the 2030 package </w:t>
      </w:r>
      <w:r>
        <w:rPr>
          <w:rFonts w:ascii="Times New Roman" w:hAnsi="Times New Roman" w:cs="Times New Roman"/>
          <w:lang w:val="en-US"/>
        </w:rPr>
        <w:t xml:space="preserve">agreed </w:t>
      </w:r>
      <w:r w:rsidRPr="00EE491E">
        <w:rPr>
          <w:rFonts w:ascii="Times New Roman" w:hAnsi="Times New Roman" w:cs="Times New Roman"/>
          <w:lang w:val="en-US"/>
        </w:rPr>
        <w:t xml:space="preserve">in 2014. </w:t>
      </w:r>
    </w:p>
    <w:p w14:paraId="23806766" w14:textId="77777777" w:rsidR="00FB58CB" w:rsidRPr="00EE491E" w:rsidRDefault="00FB58CB" w:rsidP="00FB58CB">
      <w:pPr>
        <w:spacing w:line="360" w:lineRule="auto"/>
        <w:jc w:val="both"/>
        <w:rPr>
          <w:rFonts w:ascii="Times New Roman" w:hAnsi="Times New Roman" w:cs="Times New Roman"/>
          <w:lang w:val="en-US"/>
        </w:rPr>
      </w:pPr>
      <w:r>
        <w:rPr>
          <w:rFonts w:ascii="Times New Roman" w:hAnsi="Times New Roman" w:cs="Times New Roman"/>
          <w:lang w:val="en-US"/>
        </w:rPr>
        <w:fldChar w:fldCharType="begin"/>
      </w:r>
      <w:r>
        <w:rPr>
          <w:rFonts w:ascii="Times New Roman" w:hAnsi="Times New Roman" w:cs="Times New Roman"/>
          <w:lang w:val="en-US"/>
        </w:rPr>
        <w:instrText xml:space="preserve"> ADDIN EN.CITE &lt;EndNote&gt;&lt;Cite AuthorYear="1"&gt;&lt;Author&gt;Geels&lt;/Author&gt;&lt;Year&gt;2013&lt;/Year&gt;&lt;RecNum&gt;275&lt;/RecNum&gt;&lt;DisplayText&gt;Geels (2013)&lt;/DisplayText&gt;&lt;record&gt;&lt;rec-number&gt;275&lt;/rec-number&gt;&lt;foreign-keys&gt;&lt;key app="EN" db-id="zap5wezzop9xpwe0awepz55lfafptea5pr2w" timestamp="1621612017"&gt;275&lt;/key&gt;&lt;/foreign-keys&gt;&lt;ref-type name="Journal Article"&gt;17&lt;/ref-type&gt;&lt;contributors&gt;&lt;authors&gt;&lt;author&gt;Geels, Frank W&lt;/author&gt;&lt;/authors&gt;&lt;/contributors&gt;&lt;titles&gt;&lt;title&gt;The impact of the financial–economic crisis on sustainability transitions: Financial investment, governance and public discourse&lt;/title&gt;&lt;secondary-title&gt;Environmental Innovation and Societal Transitions&lt;/secondary-title&gt;&lt;/titles&gt;&lt;periodical&gt;&lt;full-title&gt;Environmental Innovation and Societal Transitions&lt;/full-title&gt;&lt;abbr-1&gt;Environmental Innovation and Societal Transitions&lt;/abbr-1&gt;&lt;/periodical&gt;&lt;pages&gt;67-95&lt;/pages&gt;&lt;volume&gt;6&lt;/volume&gt;&lt;dates&gt;&lt;year&gt;2013&lt;/year&gt;&lt;/dates&gt;&lt;isbn&gt;2210-4224&lt;/isbn&gt;&lt;urls&gt;&lt;/urls&gt;&lt;/record&gt;&lt;/Cite&gt;&lt;/EndNote&gt;</w:instrText>
      </w:r>
      <w:r>
        <w:rPr>
          <w:rFonts w:ascii="Times New Roman" w:hAnsi="Times New Roman" w:cs="Times New Roman"/>
          <w:lang w:val="en-US"/>
        </w:rPr>
        <w:fldChar w:fldCharType="separate"/>
      </w:r>
      <w:r>
        <w:rPr>
          <w:rFonts w:ascii="Times New Roman" w:hAnsi="Times New Roman" w:cs="Times New Roman"/>
          <w:noProof/>
          <w:lang w:val="en-US"/>
        </w:rPr>
        <w:t>Geels (2013)</w:t>
      </w:r>
      <w:r>
        <w:rPr>
          <w:rFonts w:ascii="Times New Roman" w:hAnsi="Times New Roman" w:cs="Times New Roman"/>
          <w:lang w:val="en-US"/>
        </w:rPr>
        <w:fldChar w:fldCharType="end"/>
      </w:r>
      <w:r w:rsidRPr="00EE491E">
        <w:rPr>
          <w:rFonts w:ascii="Times New Roman" w:hAnsi="Times New Roman" w:cs="Times New Roman"/>
          <w:lang w:val="en-US"/>
        </w:rPr>
        <w:t xml:space="preserve"> explored different impacts of the GFC on sustainability transitions from a multi-level perspective. Focusing on renewable energy and climate policy in the EU, he concludes that the early years of the crisis (2008-2010) created a window of opportunity for the diffusion of green technologies and niche</w:t>
      </w:r>
      <w:r>
        <w:rPr>
          <w:rFonts w:ascii="Times New Roman" w:hAnsi="Times New Roman" w:cs="Times New Roman"/>
          <w:lang w:val="en-US"/>
        </w:rPr>
        <w:t xml:space="preserve"> </w:t>
      </w:r>
      <w:r w:rsidRPr="00EE491E">
        <w:rPr>
          <w:rFonts w:ascii="Times New Roman" w:hAnsi="Times New Roman" w:cs="Times New Roman"/>
          <w:lang w:val="en-US"/>
        </w:rPr>
        <w:t>innovations. Notably, “green recovery” and stimulus packages boosted public investment in low-carbon technologies like renewables and electromobility. However, this effect later turned negative as the economic fallout from the crisis imposed fiscal and political constraints on policymakers, resulting in a decline of political relevance and ambition of climate policy.</w:t>
      </w:r>
    </w:p>
    <w:p w14:paraId="100B75FF" w14:textId="77777777" w:rsidR="00FB58CB" w:rsidRPr="007C1161" w:rsidRDefault="00FB58CB" w:rsidP="00FB58CB">
      <w:pPr>
        <w:spacing w:line="360" w:lineRule="auto"/>
        <w:jc w:val="both"/>
        <w:rPr>
          <w:rFonts w:ascii="Times New Roman" w:hAnsi="Times New Roman" w:cs="Times New Roman"/>
          <w:lang w:val="en-US"/>
        </w:rPr>
      </w:pPr>
      <w:r>
        <w:rPr>
          <w:rFonts w:ascii="Times New Roman" w:hAnsi="Times New Roman" w:cs="Times New Roman"/>
          <w:lang w:val="en-US"/>
        </w:rPr>
        <w:t>The</w:t>
      </w:r>
      <w:r w:rsidRPr="00467AC0">
        <w:rPr>
          <w:rFonts w:ascii="Times New Roman" w:hAnsi="Times New Roman" w:cs="Times New Roman"/>
          <w:lang w:val="en-US"/>
        </w:rPr>
        <w:t xml:space="preserve"> initial impact of the COVID-19 pandemic on energy-related CO</w:t>
      </w:r>
      <w:r w:rsidRPr="001E5F28">
        <w:rPr>
          <w:rFonts w:ascii="Times New Roman" w:hAnsi="Times New Roman" w:cs="Times New Roman"/>
          <w:vertAlign w:val="subscript"/>
          <w:lang w:val="en-US"/>
        </w:rPr>
        <w:t>2</w:t>
      </w:r>
      <w:r w:rsidRPr="00467AC0">
        <w:rPr>
          <w:rFonts w:ascii="Times New Roman" w:hAnsi="Times New Roman" w:cs="Times New Roman"/>
          <w:lang w:val="en-US"/>
        </w:rPr>
        <w:t xml:space="preserve"> emissions and its implications for climate policy in the EU and globally have already received</w:t>
      </w:r>
      <w:r>
        <w:rPr>
          <w:rFonts w:ascii="Times New Roman" w:hAnsi="Times New Roman" w:cs="Times New Roman"/>
          <w:lang w:val="en-US"/>
        </w:rPr>
        <w:t xml:space="preserve"> </w:t>
      </w:r>
      <w:r w:rsidRPr="00467AC0">
        <w:rPr>
          <w:rFonts w:ascii="Times New Roman" w:hAnsi="Times New Roman" w:cs="Times New Roman"/>
          <w:lang w:val="en-US"/>
        </w:rPr>
        <w:t>scholarly attention</w:t>
      </w:r>
      <w:r>
        <w:rPr>
          <w:rFonts w:ascii="Times New Roman" w:hAnsi="Times New Roman" w:cs="Times New Roman"/>
          <w:lang w:val="en-US"/>
        </w:rPr>
        <w:t xml:space="preserve"> </w:t>
      </w:r>
      <w:r>
        <w:rPr>
          <w:rFonts w:ascii="Times New Roman" w:hAnsi="Times New Roman" w:cs="Times New Roman"/>
          <w:lang w:val="en-US"/>
        </w:rPr>
        <w:fldChar w:fldCharType="begin"/>
      </w:r>
      <w:r>
        <w:rPr>
          <w:rFonts w:ascii="Times New Roman" w:hAnsi="Times New Roman" w:cs="Times New Roman"/>
          <w:lang w:val="en-US"/>
        </w:rPr>
        <w:instrText xml:space="preserve"> ADDIN EN.CITE &lt;EndNote&gt;&lt;Cite&gt;&lt;Author&gt;Corfee-Morlot&lt;/Author&gt;&lt;Year&gt;2021&lt;/Year&gt;&lt;RecNum&gt;913&lt;/RecNum&gt;&lt;DisplayText&gt;(Corfee-Morlot et al., 2021)&lt;/DisplayText&gt;&lt;record&gt;&lt;rec-number&gt;913&lt;/rec-number&gt;&lt;foreign-keys&gt;&lt;key app="EN" db-id="zap5wezzop9xpwe0awepz55lfafptea5pr2w" timestamp="1665049831"&gt;913&lt;/key&gt;&lt;/foreign-keys&gt;&lt;ref-type name="Generic"&gt;13&lt;/ref-type&gt;&lt;contributors&gt;&lt;authors&gt;&lt;author&gt;Corfee-Morlot, Jan&lt;/author&gt;&lt;author&gt;Depledge, Joanna&lt;/author&gt;&lt;author&gt;Winkler, Harald&lt;/author&gt;&lt;/authors&gt;&lt;/contributors&gt;&lt;titles&gt;&lt;title&gt;COVID-19 recovery and climate policy&lt;/title&gt;&lt;/titles&gt;&lt;pages&gt;1249-1256&lt;/pages&gt;&lt;volume&gt;21&lt;/volume&gt;&lt;number&gt;10&lt;/number&gt;&lt;dates&gt;&lt;year&gt;2021&lt;/year&gt;&lt;/dates&gt;&lt;publisher&gt;Taylor &amp;amp; Francis&lt;/publisher&gt;&lt;isbn&gt;1469-3062&lt;/isbn&gt;&lt;urls&gt;&lt;/urls&gt;&lt;/record&gt;&lt;/Cite&gt;&lt;/EndNote&gt;</w:instrText>
      </w:r>
      <w:r>
        <w:rPr>
          <w:rFonts w:ascii="Times New Roman" w:hAnsi="Times New Roman" w:cs="Times New Roman"/>
          <w:lang w:val="en-US"/>
        </w:rPr>
        <w:fldChar w:fldCharType="separate"/>
      </w:r>
      <w:r>
        <w:rPr>
          <w:rFonts w:ascii="Times New Roman" w:hAnsi="Times New Roman" w:cs="Times New Roman"/>
          <w:noProof/>
          <w:lang w:val="en-US"/>
        </w:rPr>
        <w:t>(Corfee-Morlot et al., 2021)</w:t>
      </w:r>
      <w:r>
        <w:rPr>
          <w:rFonts w:ascii="Times New Roman" w:hAnsi="Times New Roman" w:cs="Times New Roman"/>
          <w:lang w:val="en-US"/>
        </w:rPr>
        <w:fldChar w:fldCharType="end"/>
      </w:r>
      <w:r w:rsidRPr="00467AC0">
        <w:rPr>
          <w:rFonts w:ascii="Times New Roman" w:hAnsi="Times New Roman" w:cs="Times New Roman"/>
          <w:lang w:val="en-US"/>
        </w:rPr>
        <w:t>.</w:t>
      </w:r>
      <w:r>
        <w:rPr>
          <w:rFonts w:ascii="Times New Roman" w:hAnsi="Times New Roman" w:cs="Times New Roman"/>
          <w:lang w:val="en-US"/>
        </w:rPr>
        <w:t xml:space="preserve"> S</w:t>
      </w:r>
      <w:r w:rsidRPr="00467AC0">
        <w:rPr>
          <w:rFonts w:ascii="Times New Roman" w:hAnsi="Times New Roman" w:cs="Times New Roman"/>
          <w:lang w:val="en-US"/>
        </w:rPr>
        <w:t>everal studies perform</w:t>
      </w:r>
      <w:r>
        <w:rPr>
          <w:rFonts w:ascii="Times New Roman" w:hAnsi="Times New Roman" w:cs="Times New Roman"/>
          <w:lang w:val="en-US"/>
        </w:rPr>
        <w:t>ed</w:t>
      </w:r>
      <w:r w:rsidRPr="00467AC0">
        <w:rPr>
          <w:rFonts w:ascii="Times New Roman" w:hAnsi="Times New Roman" w:cs="Times New Roman"/>
          <w:lang w:val="en-US"/>
        </w:rPr>
        <w:t xml:space="preserve"> preliminary assessment</w:t>
      </w:r>
      <w:r>
        <w:rPr>
          <w:rFonts w:ascii="Times New Roman" w:hAnsi="Times New Roman" w:cs="Times New Roman"/>
          <w:lang w:val="en-US"/>
        </w:rPr>
        <w:t>s</w:t>
      </w:r>
      <w:r w:rsidRPr="00467AC0">
        <w:rPr>
          <w:rFonts w:ascii="Times New Roman" w:hAnsi="Times New Roman" w:cs="Times New Roman"/>
          <w:lang w:val="en-US"/>
        </w:rPr>
        <w:t xml:space="preserve"> of climate-related implications of recovery and stimulus packages </w:t>
      </w:r>
      <w:r>
        <w:rPr>
          <w:rFonts w:ascii="Times New Roman" w:hAnsi="Times New Roman" w:cs="Times New Roman"/>
          <w:lang w:val="en-US"/>
        </w:rPr>
        <w:fldChar w:fldCharType="begin"/>
      </w:r>
      <w:r>
        <w:rPr>
          <w:rFonts w:ascii="Times New Roman" w:hAnsi="Times New Roman" w:cs="Times New Roman"/>
          <w:lang w:val="en-US"/>
        </w:rPr>
        <w:instrText xml:space="preserve"> ADDIN EN.CITE &lt;EndNote&gt;&lt;Cite&gt;&lt;Author&gt;Hepburn&lt;/Author&gt;&lt;Year&gt;2020&lt;/Year&gt;&lt;RecNum&gt;213&lt;/RecNum&gt;&lt;DisplayText&gt;(Hepburn et al., 2020)&lt;/DisplayText&gt;&lt;record&gt;&lt;rec-number&gt;213&lt;/rec-number&gt;&lt;foreign-keys&gt;&lt;key app="EN" db-id="zap5wezzop9xpwe0awepz55lfafptea5pr2w" timestamp="1613659512"&gt;213&lt;/key&gt;&lt;/foreign-keys&gt;&lt;ref-type name="Journal Article"&gt;17&lt;/ref-type&gt;&lt;contributors&gt;&lt;authors&gt;&lt;author&gt;Hepburn, Cameron&lt;/author&gt;&lt;author&gt;O’Callaghan, Brian&lt;/author&gt;&lt;author&gt;Stern, Nicholas&lt;/author&gt;&lt;author&gt;Stiglitz, Joseph&lt;/author&gt;&lt;author&gt;Zenghelis, Dimitri&lt;/author&gt;&lt;/authors&gt;&lt;/contributors&gt;&lt;titles&gt;&lt;title&gt;Will COVID-19 fiscal recovery packages accelerate or retard progress on climate change?&lt;/title&gt;&lt;secondary-title&gt;Oxford Review of Economic Policy&lt;/secondary-title&gt;&lt;/titles&gt;&lt;periodical&gt;&lt;full-title&gt;Oxford review of economic policy&lt;/full-title&gt;&lt;/periodical&gt;&lt;pages&gt;S359-S381&lt;/pages&gt;&lt;volume&gt;36&lt;/volume&gt;&lt;number&gt;Supplement_1&lt;/number&gt;&lt;dates&gt;&lt;year&gt;2020&lt;/year&gt;&lt;/dates&gt;&lt;isbn&gt;0266-903X&lt;/isbn&gt;&lt;urls&gt;&lt;/urls&gt;&lt;/record&gt;&lt;/Cite&gt;&lt;/EndNote&gt;</w:instrText>
      </w:r>
      <w:r>
        <w:rPr>
          <w:rFonts w:ascii="Times New Roman" w:hAnsi="Times New Roman" w:cs="Times New Roman"/>
          <w:lang w:val="en-US"/>
        </w:rPr>
        <w:fldChar w:fldCharType="separate"/>
      </w:r>
      <w:r>
        <w:rPr>
          <w:rFonts w:ascii="Times New Roman" w:hAnsi="Times New Roman" w:cs="Times New Roman"/>
          <w:noProof/>
          <w:lang w:val="en-US"/>
        </w:rPr>
        <w:t>(Hepburn et al., 2020)</w:t>
      </w:r>
      <w:r>
        <w:rPr>
          <w:rFonts w:ascii="Times New Roman" w:hAnsi="Times New Roman" w:cs="Times New Roman"/>
          <w:lang w:val="en-US"/>
        </w:rPr>
        <w:fldChar w:fldCharType="end"/>
      </w:r>
      <w:r w:rsidRPr="00467AC0">
        <w:rPr>
          <w:rFonts w:ascii="Times New Roman" w:hAnsi="Times New Roman" w:cs="Times New Roman"/>
          <w:lang w:val="en-US"/>
        </w:rPr>
        <w:t xml:space="preserve"> and drew lessons from the stimulus packages in response to the </w:t>
      </w:r>
      <w:r>
        <w:rPr>
          <w:rFonts w:ascii="Times New Roman" w:hAnsi="Times New Roman" w:cs="Times New Roman"/>
          <w:lang w:val="en-US"/>
        </w:rPr>
        <w:t>GFC</w:t>
      </w:r>
      <w:r w:rsidRPr="00467AC0">
        <w:rPr>
          <w:rFonts w:ascii="Times New Roman" w:hAnsi="Times New Roman" w:cs="Times New Roman"/>
          <w:lang w:val="en-US"/>
        </w:rPr>
        <w:t xml:space="preserve"> </w:t>
      </w:r>
      <w:r>
        <w:rPr>
          <w:rFonts w:ascii="Times New Roman" w:hAnsi="Times New Roman" w:cs="Times New Roman"/>
          <w:lang w:val="en-US"/>
        </w:rPr>
        <w:fldChar w:fldCharType="begin"/>
      </w:r>
      <w:r>
        <w:rPr>
          <w:rFonts w:ascii="Times New Roman" w:hAnsi="Times New Roman" w:cs="Times New Roman"/>
          <w:lang w:val="en-US"/>
        </w:rPr>
        <w:instrText xml:space="preserve"> ADDIN EN.CITE &lt;EndNote&gt;&lt;Cite&gt;&lt;Author&gt;Agrawala&lt;/Author&gt;&lt;Year&gt;2020&lt;/Year&gt;&lt;RecNum&gt;240&lt;/RecNum&gt;&lt;DisplayText&gt;(Agrawala et al., 2020)&lt;/DisplayText&gt;&lt;record&gt;&lt;rec-number&gt;240&lt;/rec-number&gt;&lt;foreign-keys&gt;&lt;key app="EN" db-id="zap5wezzop9xpwe0awepz55lfafptea5pr2w" timestamp="1614422863"&gt;240&lt;/key&gt;&lt;/foreign-keys&gt;&lt;ref-type name="Journal Article"&gt;17&lt;/ref-type&gt;&lt;contributors&gt;&lt;authors&gt;&lt;author&gt;Agrawala, Shardul&lt;/author&gt;&lt;author&gt;Dussaux, Damien&lt;/author&gt;&lt;author&gt;Monti, Norbert&lt;/author&gt;&lt;/authors&gt;&lt;/contributors&gt;&lt;titles&gt;&lt;title&gt;What policies for greening the crisis response and economic recovery?: Lessons learned from past green stimulus measures and implications for the COVID-19 crisis&lt;/title&gt;&lt;/titles&gt;&lt;dates&gt;&lt;year&gt;2020&lt;/year&gt;&lt;/dates&gt;&lt;urls&gt;&lt;/urls&gt;&lt;/record&gt;&lt;/Cite&gt;&lt;/EndNote&gt;</w:instrText>
      </w:r>
      <w:r>
        <w:rPr>
          <w:rFonts w:ascii="Times New Roman" w:hAnsi="Times New Roman" w:cs="Times New Roman"/>
          <w:lang w:val="en-US"/>
        </w:rPr>
        <w:fldChar w:fldCharType="separate"/>
      </w:r>
      <w:r>
        <w:rPr>
          <w:rFonts w:ascii="Times New Roman" w:hAnsi="Times New Roman" w:cs="Times New Roman"/>
          <w:noProof/>
          <w:lang w:val="en-US"/>
        </w:rPr>
        <w:t>(Agrawala et al., 2020)</w:t>
      </w:r>
      <w:r>
        <w:rPr>
          <w:rFonts w:ascii="Times New Roman" w:hAnsi="Times New Roman" w:cs="Times New Roman"/>
          <w:lang w:val="en-US"/>
        </w:rPr>
        <w:fldChar w:fldCharType="end"/>
      </w:r>
      <w:r w:rsidRPr="00467AC0">
        <w:rPr>
          <w:rFonts w:ascii="Times New Roman" w:hAnsi="Times New Roman" w:cs="Times New Roman"/>
          <w:lang w:val="en-US"/>
        </w:rPr>
        <w:t xml:space="preserve">.  </w:t>
      </w:r>
      <w:r w:rsidRPr="00017D20">
        <w:rPr>
          <w:rFonts w:ascii="Times New Roman" w:hAnsi="Times New Roman" w:cs="Times New Roman"/>
          <w:lang w:val="en-GB"/>
        </w:rPr>
        <w:t xml:space="preserve">They identified policy measures with higher potential to </w:t>
      </w:r>
      <w:r>
        <w:rPr>
          <w:rFonts w:ascii="Times New Roman" w:hAnsi="Times New Roman" w:cs="Times New Roman"/>
          <w:lang w:val="en-GB"/>
        </w:rPr>
        <w:t>drive</w:t>
      </w:r>
      <w:r w:rsidRPr="00017D20">
        <w:rPr>
          <w:rFonts w:ascii="Times New Roman" w:hAnsi="Times New Roman" w:cs="Times New Roman"/>
          <w:lang w:val="en-GB"/>
        </w:rPr>
        <w:t xml:space="preserve"> econom</w:t>
      </w:r>
      <w:r>
        <w:rPr>
          <w:rFonts w:ascii="Times New Roman" w:hAnsi="Times New Roman" w:cs="Times New Roman"/>
          <w:lang w:val="en-GB"/>
        </w:rPr>
        <w:t>ic</w:t>
      </w:r>
      <w:r w:rsidRPr="00017D20">
        <w:rPr>
          <w:rFonts w:ascii="Times New Roman" w:hAnsi="Times New Roman" w:cs="Times New Roman"/>
          <w:lang w:val="en-GB"/>
        </w:rPr>
        <w:t xml:space="preserve"> recovery while incentivising decarboni</w:t>
      </w:r>
      <w:r>
        <w:rPr>
          <w:rFonts w:ascii="Times New Roman" w:hAnsi="Times New Roman" w:cs="Times New Roman"/>
          <w:lang w:val="en-GB"/>
        </w:rPr>
        <w:t>s</w:t>
      </w:r>
      <w:r w:rsidRPr="00017D20">
        <w:rPr>
          <w:rFonts w:ascii="Times New Roman" w:hAnsi="Times New Roman" w:cs="Times New Roman"/>
          <w:lang w:val="en-GB"/>
        </w:rPr>
        <w:t>ation, including “clean</w:t>
      </w:r>
      <w:r>
        <w:rPr>
          <w:rFonts w:ascii="Times New Roman" w:hAnsi="Times New Roman" w:cs="Times New Roman"/>
          <w:lang w:val="en-GB"/>
        </w:rPr>
        <w:t>”</w:t>
      </w:r>
      <w:r w:rsidRPr="00017D20">
        <w:rPr>
          <w:rFonts w:ascii="Times New Roman" w:hAnsi="Times New Roman" w:cs="Times New Roman"/>
          <w:lang w:val="en-GB"/>
        </w:rPr>
        <w:t xml:space="preserve"> physical infrastructure and building efficiency retrofits.</w:t>
      </w:r>
      <w:r>
        <w:rPr>
          <w:rFonts w:ascii="Times New Roman" w:hAnsi="Times New Roman" w:cs="Times New Roman"/>
          <w:lang w:val="en-US"/>
        </w:rPr>
        <w:t xml:space="preserve"> </w:t>
      </w:r>
      <w:r w:rsidRPr="00467AC0">
        <w:rPr>
          <w:rFonts w:ascii="Times New Roman" w:hAnsi="Times New Roman" w:cs="Times New Roman"/>
          <w:lang w:val="en-US"/>
        </w:rPr>
        <w:t xml:space="preserve"> </w:t>
      </w:r>
      <w:r>
        <w:rPr>
          <w:rFonts w:ascii="Times New Roman" w:hAnsi="Times New Roman" w:cs="Times New Roman"/>
          <w:lang w:val="en-US"/>
        </w:rPr>
        <w:fldChar w:fldCharType="begin"/>
      </w:r>
      <w:r>
        <w:rPr>
          <w:rFonts w:ascii="Times New Roman" w:hAnsi="Times New Roman" w:cs="Times New Roman"/>
          <w:lang w:val="en-US"/>
        </w:rPr>
        <w:instrText xml:space="preserve"> ADDIN EN.CITE &lt;EndNote&gt;&lt;Cite AuthorYear="1"&gt;&lt;Author&gt;Dupont&lt;/Author&gt;&lt;Year&gt;2020&lt;/Year&gt;&lt;RecNum&gt;207&lt;/RecNum&gt;&lt;DisplayText&gt;Dupont et al. (2020)&lt;/DisplayText&gt;&lt;record&gt;&lt;rec-number&gt;207&lt;/rec-number&gt;&lt;foreign-keys&gt;&lt;key app="EN" db-id="zap5wezzop9xpwe0awepz55lfafptea5pr2w" timestamp="1613591389"&gt;207&lt;/key&gt;&lt;/foreign-keys&gt;&lt;ref-type name="Journal Article"&gt;17&lt;/ref-type&gt;&lt;contributors&gt;&lt;authors&gt;&lt;author&gt;Dupont, Claire&lt;/author&gt;&lt;author&gt;Oberthür, Sebastian&lt;/author&gt;&lt;author&gt;von Homeyer, Ingmar&lt;/author&gt;&lt;/authors&gt;&lt;/contributors&gt;&lt;titles&gt;&lt;title&gt;The Covid-19 crisis: a critical juncture for EU climate policy development?&lt;/title&gt;&lt;secondary-title&gt;Journal of European Integration&lt;/secondary-title&gt;&lt;/titles&gt;&lt;periodical&gt;&lt;full-title&gt;Journal of European Integration&lt;/full-title&gt;&lt;/periodical&gt;&lt;pages&gt;1095-1110&lt;/pages&gt;&lt;volume&gt;42&lt;/volume&gt;&lt;number&gt;8&lt;/number&gt;&lt;dates&gt;&lt;year&gt;2020&lt;/year&gt;&lt;/dates&gt;&lt;isbn&gt;0703-6337&lt;/isbn&gt;&lt;urls&gt;&lt;/urls&gt;&lt;/record&gt;&lt;/Cite&gt;&lt;/EndNote&gt;</w:instrText>
      </w:r>
      <w:r>
        <w:rPr>
          <w:rFonts w:ascii="Times New Roman" w:hAnsi="Times New Roman" w:cs="Times New Roman"/>
          <w:lang w:val="en-US"/>
        </w:rPr>
        <w:fldChar w:fldCharType="separate"/>
      </w:r>
      <w:r>
        <w:rPr>
          <w:rFonts w:ascii="Times New Roman" w:hAnsi="Times New Roman" w:cs="Times New Roman"/>
          <w:noProof/>
          <w:lang w:val="en-US"/>
        </w:rPr>
        <w:t>Dupont et al. (2020)</w:t>
      </w:r>
      <w:r>
        <w:rPr>
          <w:rFonts w:ascii="Times New Roman" w:hAnsi="Times New Roman" w:cs="Times New Roman"/>
          <w:lang w:val="en-US"/>
        </w:rPr>
        <w:fldChar w:fldCharType="end"/>
      </w:r>
      <w:r w:rsidRPr="00467AC0">
        <w:rPr>
          <w:rFonts w:ascii="Times New Roman" w:hAnsi="Times New Roman" w:cs="Times New Roman"/>
          <w:lang w:val="en-US"/>
        </w:rPr>
        <w:t xml:space="preserve"> explored the potential of the pandemic to act as a “critical juncture” for EU climate policy development, concluding that it will likely strengthen and accelerate policy measures and targets adopted as part of the European Green Deal (EGD) in 2019. They argue that the EGD itself can be regarded as a “critical juncture” for EU climate policy, thus predating the COVID-19 crisis. However, in contrast to the 2008 crisis, the policy response so far indicates that the EU climate policy agenda will be strengthened rather than weakened</w:t>
      </w:r>
      <w:r>
        <w:rPr>
          <w:rFonts w:ascii="Times New Roman" w:hAnsi="Times New Roman" w:cs="Times New Roman"/>
          <w:lang w:val="en-US"/>
        </w:rPr>
        <w:t xml:space="preserve">. </w:t>
      </w:r>
      <w:r>
        <w:rPr>
          <w:rFonts w:ascii="Times New Roman" w:hAnsi="Times New Roman" w:cs="Times New Roman"/>
          <w:lang w:val="en-US"/>
        </w:rPr>
        <w:fldChar w:fldCharType="begin"/>
      </w:r>
      <w:r>
        <w:rPr>
          <w:rFonts w:ascii="Times New Roman" w:hAnsi="Times New Roman" w:cs="Times New Roman"/>
          <w:lang w:val="en-US"/>
        </w:rPr>
        <w:instrText xml:space="preserve"> ADDIN EN.CITE &lt;EndNote&gt;&lt;Cite AuthorYear="1"&gt;&lt;Author&gt;Geels&lt;/Author&gt;&lt;Year&gt;2022&lt;/Year&gt;&lt;RecNum&gt;821&lt;/RecNum&gt;&lt;DisplayText&gt;Geels et al. (2022)&lt;/DisplayText&gt;&lt;record&gt;&lt;rec-number&gt;821&lt;/rec-number&gt;&lt;foreign-keys&gt;&lt;key app="EN" db-id="zap5wezzop9xpwe0awepz55lfafptea5pr2w" timestamp="1647182925"&gt;821&lt;/key&gt;&lt;/foreign-keys&gt;&lt;ref-type name="Journal Article"&gt;17&lt;/ref-type&gt;&lt;contributors&gt;&lt;authors&gt;&lt;author&gt;Geels, Frank W&lt;/author&gt;&lt;author&gt;Pereira, Guillermo Ivan&lt;/author&gt;&lt;author&gt;Pinkse, Jonatan&lt;/author&gt;&lt;/authors&gt;&lt;/contributors&gt;&lt;titles&gt;&lt;title&gt;Moving beyond opportunity narratives in COVID-19 green recoveries: A comparative analysis of public investment plans in France, Germany, and the United Kingdom&lt;/title&gt;&lt;secondary-title&gt;Energy Research &amp;amp; Social Science&lt;/secondary-title&gt;&lt;/titles&gt;&lt;periodical&gt;&lt;full-title&gt;Energy Research &amp;amp; Social Science&lt;/full-title&gt;&lt;abbr-1&gt;Energy Research &amp;amp; Social Science&lt;/abbr-1&gt;&lt;/periodical&gt;&lt;pages&gt;102368&lt;/pages&gt;&lt;volume&gt;84&lt;/volume&gt;&lt;dates&gt;&lt;year&gt;2022&lt;/year&gt;&lt;/dates&gt;&lt;isbn&gt;2214-6296&lt;/isbn&gt;&lt;urls&gt;&lt;/urls&gt;&lt;/record&gt;&lt;/Cite&gt;&lt;/EndNote&gt;</w:instrText>
      </w:r>
      <w:r>
        <w:rPr>
          <w:rFonts w:ascii="Times New Roman" w:hAnsi="Times New Roman" w:cs="Times New Roman"/>
          <w:lang w:val="en-US"/>
        </w:rPr>
        <w:fldChar w:fldCharType="separate"/>
      </w:r>
      <w:r>
        <w:rPr>
          <w:rFonts w:ascii="Times New Roman" w:hAnsi="Times New Roman" w:cs="Times New Roman"/>
          <w:noProof/>
          <w:lang w:val="en-US"/>
        </w:rPr>
        <w:t>Geels et al. (2022)</w:t>
      </w:r>
      <w:r>
        <w:rPr>
          <w:rFonts w:ascii="Times New Roman" w:hAnsi="Times New Roman" w:cs="Times New Roman"/>
          <w:lang w:val="en-US"/>
        </w:rPr>
        <w:fldChar w:fldCharType="end"/>
      </w:r>
      <w:r>
        <w:rPr>
          <w:rFonts w:ascii="Times New Roman" w:hAnsi="Times New Roman" w:cs="Times New Roman"/>
          <w:lang w:val="en-US"/>
        </w:rPr>
        <w:t xml:space="preserve"> investigated the </w:t>
      </w:r>
      <w:r w:rsidRPr="007C1161">
        <w:rPr>
          <w:rFonts w:ascii="Times New Roman" w:hAnsi="Times New Roman" w:cs="Times New Roman"/>
          <w:lang w:val="en-US"/>
        </w:rPr>
        <w:t>green recovery spending plans</w:t>
      </w:r>
      <w:r>
        <w:rPr>
          <w:rFonts w:ascii="Times New Roman" w:hAnsi="Times New Roman" w:cs="Times New Roman"/>
          <w:lang w:val="en-US"/>
        </w:rPr>
        <w:t xml:space="preserve"> of France, Germany and the UK, finding that they are </w:t>
      </w:r>
      <w:r w:rsidRPr="007C1161">
        <w:rPr>
          <w:rFonts w:ascii="Times New Roman" w:hAnsi="Times New Roman" w:cs="Times New Roman"/>
          <w:lang w:val="en-US"/>
        </w:rPr>
        <w:t>powerfully</w:t>
      </w:r>
      <w:r>
        <w:rPr>
          <w:rFonts w:ascii="Times New Roman" w:hAnsi="Times New Roman" w:cs="Times New Roman"/>
          <w:lang w:val="en-US"/>
        </w:rPr>
        <w:t xml:space="preserve"> </w:t>
      </w:r>
      <w:r w:rsidRPr="007C1161">
        <w:rPr>
          <w:rFonts w:ascii="Times New Roman" w:hAnsi="Times New Roman" w:cs="Times New Roman"/>
          <w:lang w:val="en-US"/>
        </w:rPr>
        <w:t>shaped by pre-existing contexts, plans and developments, which constrain the use of the</w:t>
      </w:r>
      <w:r>
        <w:rPr>
          <w:rFonts w:ascii="Times New Roman" w:hAnsi="Times New Roman" w:cs="Times New Roman"/>
          <w:lang w:val="en-US"/>
        </w:rPr>
        <w:t xml:space="preserve"> </w:t>
      </w:r>
      <w:r w:rsidRPr="007C1161">
        <w:rPr>
          <w:rFonts w:ascii="Times New Roman" w:hAnsi="Times New Roman" w:cs="Times New Roman"/>
          <w:lang w:val="en-US"/>
        </w:rPr>
        <w:t>crisis-induced opportunities.</w:t>
      </w:r>
    </w:p>
    <w:p w14:paraId="398BD607" w14:textId="41167F03" w:rsidR="00FB58CB" w:rsidRPr="00FB58CB" w:rsidRDefault="00FB58CB" w:rsidP="006F4619">
      <w:pPr>
        <w:rPr>
          <w:lang w:val="en-US"/>
        </w:rPr>
        <w:sectPr w:rsidR="00FB58CB" w:rsidRPr="00FB58CB" w:rsidSect="006F4619">
          <w:pgSz w:w="11906" w:h="16838"/>
          <w:pgMar w:top="1418" w:right="1418" w:bottom="1134" w:left="1418" w:header="709" w:footer="709" w:gutter="0"/>
          <w:cols w:space="708"/>
          <w:docGrid w:linePitch="360"/>
        </w:sectPr>
      </w:pPr>
    </w:p>
    <w:p w14:paraId="20D9ACA7" w14:textId="0895213C" w:rsidR="005504C2" w:rsidRPr="00BC53A1" w:rsidRDefault="005504C2" w:rsidP="005504C2">
      <w:pPr>
        <w:pStyle w:val="Caption"/>
        <w:keepNext/>
        <w:rPr>
          <w:rFonts w:ascii="Times New Roman" w:hAnsi="Times New Roman" w:cs="Times New Roman"/>
          <w:b/>
          <w:bCs/>
          <w:i w:val="0"/>
          <w:iCs w:val="0"/>
          <w:sz w:val="20"/>
          <w:szCs w:val="20"/>
          <w:lang w:val="en-GB"/>
        </w:rPr>
      </w:pPr>
      <w:r w:rsidRPr="00BC53A1">
        <w:rPr>
          <w:rFonts w:ascii="Times New Roman" w:hAnsi="Times New Roman" w:cs="Times New Roman"/>
          <w:b/>
          <w:bCs/>
          <w:i w:val="0"/>
          <w:iCs w:val="0"/>
          <w:sz w:val="20"/>
          <w:szCs w:val="20"/>
          <w:lang w:val="en-GB"/>
        </w:rPr>
        <w:lastRenderedPageBreak/>
        <w:t xml:space="preserve">Table </w:t>
      </w:r>
      <w:r w:rsidR="0023571A">
        <w:rPr>
          <w:rFonts w:ascii="Times New Roman" w:hAnsi="Times New Roman" w:cs="Times New Roman"/>
          <w:b/>
          <w:bCs/>
          <w:i w:val="0"/>
          <w:iCs w:val="0"/>
          <w:sz w:val="20"/>
          <w:szCs w:val="20"/>
          <w:lang w:val="en-GB"/>
        </w:rPr>
        <w:t>S</w:t>
      </w:r>
      <w:r w:rsidR="0094480F">
        <w:rPr>
          <w:rFonts w:ascii="Times New Roman" w:hAnsi="Times New Roman" w:cs="Times New Roman"/>
          <w:b/>
          <w:bCs/>
          <w:i w:val="0"/>
          <w:iCs w:val="0"/>
          <w:sz w:val="20"/>
          <w:szCs w:val="20"/>
          <w:lang w:val="en-GB"/>
        </w:rPr>
        <w:t>M</w:t>
      </w:r>
      <w:r w:rsidRPr="00BC53A1">
        <w:rPr>
          <w:rFonts w:ascii="Times New Roman" w:hAnsi="Times New Roman" w:cs="Times New Roman"/>
          <w:b/>
          <w:bCs/>
          <w:i w:val="0"/>
          <w:iCs w:val="0"/>
          <w:sz w:val="20"/>
          <w:szCs w:val="20"/>
          <w:lang w:val="en-GB"/>
        </w:rPr>
        <w:t xml:space="preserve">1: Peer-reviewed </w:t>
      </w:r>
      <w:r>
        <w:rPr>
          <w:rFonts w:ascii="Times New Roman" w:hAnsi="Times New Roman" w:cs="Times New Roman"/>
          <w:b/>
          <w:bCs/>
          <w:i w:val="0"/>
          <w:iCs w:val="0"/>
          <w:sz w:val="20"/>
          <w:szCs w:val="20"/>
          <w:lang w:val="en-GB"/>
        </w:rPr>
        <w:t xml:space="preserve">empirical </w:t>
      </w:r>
      <w:r w:rsidRPr="00BC53A1">
        <w:rPr>
          <w:rFonts w:ascii="Times New Roman" w:hAnsi="Times New Roman" w:cs="Times New Roman"/>
          <w:b/>
          <w:bCs/>
          <w:i w:val="0"/>
          <w:iCs w:val="0"/>
          <w:sz w:val="20"/>
          <w:szCs w:val="20"/>
          <w:lang w:val="en-GB"/>
        </w:rPr>
        <w:t xml:space="preserve">studies </w:t>
      </w:r>
      <w:r>
        <w:rPr>
          <w:rFonts w:ascii="Times New Roman" w:hAnsi="Times New Roman" w:cs="Times New Roman"/>
          <w:b/>
          <w:bCs/>
          <w:i w:val="0"/>
          <w:iCs w:val="0"/>
          <w:sz w:val="20"/>
          <w:szCs w:val="20"/>
          <w:lang w:val="en-GB"/>
        </w:rPr>
        <w:t>on</w:t>
      </w:r>
      <w:r w:rsidRPr="00BC53A1">
        <w:rPr>
          <w:rFonts w:ascii="Times New Roman" w:hAnsi="Times New Roman" w:cs="Times New Roman"/>
          <w:b/>
          <w:bCs/>
          <w:i w:val="0"/>
          <w:iCs w:val="0"/>
          <w:sz w:val="20"/>
          <w:szCs w:val="20"/>
          <w:lang w:val="en-GB"/>
        </w:rPr>
        <w:t xml:space="preserve"> </w:t>
      </w:r>
      <w:r>
        <w:rPr>
          <w:rFonts w:ascii="Times New Roman" w:hAnsi="Times New Roman" w:cs="Times New Roman"/>
          <w:b/>
          <w:bCs/>
          <w:i w:val="0"/>
          <w:iCs w:val="0"/>
          <w:sz w:val="20"/>
          <w:szCs w:val="20"/>
          <w:lang w:val="en-GB"/>
        </w:rPr>
        <w:t xml:space="preserve">the effects of the </w:t>
      </w:r>
      <w:r w:rsidRPr="00BC53A1">
        <w:rPr>
          <w:rFonts w:ascii="Times New Roman" w:hAnsi="Times New Roman" w:cs="Times New Roman"/>
          <w:b/>
          <w:bCs/>
          <w:i w:val="0"/>
          <w:iCs w:val="0"/>
          <w:sz w:val="20"/>
          <w:szCs w:val="20"/>
          <w:lang w:val="en-GB"/>
        </w:rPr>
        <w:t xml:space="preserve">GFC </w:t>
      </w:r>
      <w:r>
        <w:rPr>
          <w:rFonts w:ascii="Times New Roman" w:hAnsi="Times New Roman" w:cs="Times New Roman"/>
          <w:b/>
          <w:bCs/>
          <w:i w:val="0"/>
          <w:iCs w:val="0"/>
          <w:sz w:val="20"/>
          <w:szCs w:val="20"/>
          <w:lang w:val="en-GB"/>
        </w:rPr>
        <w:t>and</w:t>
      </w:r>
      <w:r w:rsidRPr="00BC53A1">
        <w:rPr>
          <w:rFonts w:ascii="Times New Roman" w:hAnsi="Times New Roman" w:cs="Times New Roman"/>
          <w:b/>
          <w:bCs/>
          <w:i w:val="0"/>
          <w:iCs w:val="0"/>
          <w:sz w:val="20"/>
          <w:szCs w:val="20"/>
          <w:lang w:val="en-GB"/>
        </w:rPr>
        <w:t xml:space="preserve"> </w:t>
      </w:r>
      <w:r>
        <w:rPr>
          <w:rFonts w:ascii="Times New Roman" w:hAnsi="Times New Roman" w:cs="Times New Roman"/>
          <w:b/>
          <w:bCs/>
          <w:i w:val="0"/>
          <w:iCs w:val="0"/>
          <w:sz w:val="20"/>
          <w:szCs w:val="20"/>
          <w:lang w:val="en-GB"/>
        </w:rPr>
        <w:t xml:space="preserve">the </w:t>
      </w:r>
      <w:r w:rsidRPr="00BC53A1">
        <w:rPr>
          <w:rFonts w:ascii="Times New Roman" w:hAnsi="Times New Roman" w:cs="Times New Roman"/>
          <w:b/>
          <w:bCs/>
          <w:i w:val="0"/>
          <w:iCs w:val="0"/>
          <w:sz w:val="20"/>
          <w:szCs w:val="20"/>
          <w:lang w:val="en-GB"/>
        </w:rPr>
        <w:t>Covid-19 crisis on decarbonisation</w:t>
      </w:r>
      <w:r>
        <w:rPr>
          <w:rFonts w:ascii="Times New Roman" w:hAnsi="Times New Roman" w:cs="Times New Roman"/>
          <w:b/>
          <w:bCs/>
          <w:i w:val="0"/>
          <w:iCs w:val="0"/>
          <w:sz w:val="20"/>
          <w:szCs w:val="20"/>
          <w:lang w:val="en-GB"/>
        </w:rPr>
        <w:t xml:space="preserve"> (emissions drivers/policy change)</w:t>
      </w:r>
      <w:r w:rsidRPr="00BC53A1">
        <w:rPr>
          <w:rFonts w:ascii="Times New Roman" w:hAnsi="Times New Roman" w:cs="Times New Roman"/>
          <w:b/>
          <w:bCs/>
          <w:i w:val="0"/>
          <w:iCs w:val="0"/>
          <w:sz w:val="20"/>
          <w:szCs w:val="20"/>
          <w:lang w:val="en-GB"/>
        </w:rPr>
        <w:t xml:space="preserve"> in Spain or Germany.</w:t>
      </w:r>
    </w:p>
    <w:tbl>
      <w:tblPr>
        <w:tblStyle w:val="TableGrid"/>
        <w:tblW w:w="14596" w:type="dxa"/>
        <w:tblLook w:val="04A0" w:firstRow="1" w:lastRow="0" w:firstColumn="1" w:lastColumn="0" w:noHBand="0" w:noVBand="1"/>
      </w:tblPr>
      <w:tblGrid>
        <w:gridCol w:w="638"/>
        <w:gridCol w:w="1909"/>
        <w:gridCol w:w="1701"/>
        <w:gridCol w:w="1417"/>
        <w:gridCol w:w="2268"/>
        <w:gridCol w:w="6663"/>
      </w:tblGrid>
      <w:tr w:rsidR="005504C2" w:rsidRPr="00933763" w14:paraId="5CBEA743" w14:textId="77777777" w:rsidTr="005C6916">
        <w:tc>
          <w:tcPr>
            <w:tcW w:w="638" w:type="dxa"/>
            <w:shd w:val="clear" w:color="auto" w:fill="E2EFD9" w:themeFill="accent6" w:themeFillTint="33"/>
          </w:tcPr>
          <w:p w14:paraId="59C138C4" w14:textId="77777777" w:rsidR="005504C2" w:rsidRPr="00933763" w:rsidRDefault="005504C2" w:rsidP="005C6916">
            <w:pPr>
              <w:autoSpaceDE w:val="0"/>
              <w:autoSpaceDN w:val="0"/>
              <w:adjustRightInd w:val="0"/>
              <w:jc w:val="center"/>
              <w:rPr>
                <w:rFonts w:ascii="TimesNewRomanPSMT" w:hAnsi="TimesNewRomanPSMT" w:cs="TimesNewRomanPSMT"/>
                <w:b/>
                <w:bCs/>
                <w:lang w:val="en-GB"/>
              </w:rPr>
            </w:pPr>
            <w:r w:rsidRPr="00933763">
              <w:rPr>
                <w:rFonts w:ascii="TimesNewRomanPSMT" w:hAnsi="TimesNewRomanPSMT" w:cs="TimesNewRomanPSMT"/>
                <w:b/>
                <w:bCs/>
                <w:lang w:val="en-GB"/>
              </w:rPr>
              <w:t>Nr.</w:t>
            </w:r>
          </w:p>
        </w:tc>
        <w:tc>
          <w:tcPr>
            <w:tcW w:w="1909" w:type="dxa"/>
            <w:shd w:val="clear" w:color="auto" w:fill="E2EFD9" w:themeFill="accent6" w:themeFillTint="33"/>
          </w:tcPr>
          <w:p w14:paraId="64AB9696" w14:textId="77777777" w:rsidR="005504C2" w:rsidRPr="00933763" w:rsidRDefault="005504C2" w:rsidP="005C6916">
            <w:pPr>
              <w:autoSpaceDE w:val="0"/>
              <w:autoSpaceDN w:val="0"/>
              <w:adjustRightInd w:val="0"/>
              <w:jc w:val="center"/>
              <w:rPr>
                <w:rFonts w:ascii="TimesNewRomanPSMT" w:hAnsi="TimesNewRomanPSMT" w:cs="TimesNewRomanPSMT"/>
                <w:b/>
                <w:bCs/>
                <w:lang w:val="en-GB"/>
              </w:rPr>
            </w:pPr>
            <w:r w:rsidRPr="00933763">
              <w:rPr>
                <w:rFonts w:ascii="TimesNewRomanPSMT" w:hAnsi="TimesNewRomanPSMT" w:cs="TimesNewRomanPSMT"/>
                <w:b/>
                <w:bCs/>
                <w:lang w:val="en-GB"/>
              </w:rPr>
              <w:t>Reference</w:t>
            </w:r>
          </w:p>
        </w:tc>
        <w:tc>
          <w:tcPr>
            <w:tcW w:w="1701" w:type="dxa"/>
            <w:shd w:val="clear" w:color="auto" w:fill="E2EFD9" w:themeFill="accent6" w:themeFillTint="33"/>
          </w:tcPr>
          <w:p w14:paraId="25BCDB1A" w14:textId="77777777" w:rsidR="005504C2" w:rsidRPr="00933763" w:rsidRDefault="005504C2" w:rsidP="005C6916">
            <w:pPr>
              <w:autoSpaceDE w:val="0"/>
              <w:autoSpaceDN w:val="0"/>
              <w:adjustRightInd w:val="0"/>
              <w:jc w:val="center"/>
              <w:rPr>
                <w:rFonts w:ascii="TimesNewRomanPSMT" w:hAnsi="TimesNewRomanPSMT" w:cs="TimesNewRomanPSMT"/>
                <w:b/>
                <w:bCs/>
                <w:lang w:val="en-GB"/>
              </w:rPr>
            </w:pPr>
            <w:r w:rsidRPr="00933763">
              <w:rPr>
                <w:rFonts w:ascii="TimesNewRomanPSMT" w:hAnsi="TimesNewRomanPSMT" w:cs="TimesNewRomanPSMT"/>
                <w:b/>
                <w:bCs/>
                <w:lang w:val="en-GB"/>
              </w:rPr>
              <w:t>Scale</w:t>
            </w:r>
          </w:p>
        </w:tc>
        <w:tc>
          <w:tcPr>
            <w:tcW w:w="1417" w:type="dxa"/>
            <w:shd w:val="clear" w:color="auto" w:fill="E2EFD9" w:themeFill="accent6" w:themeFillTint="33"/>
          </w:tcPr>
          <w:p w14:paraId="592E296B" w14:textId="77777777" w:rsidR="005504C2" w:rsidRPr="00933763" w:rsidRDefault="005504C2" w:rsidP="005C6916">
            <w:pPr>
              <w:autoSpaceDE w:val="0"/>
              <w:autoSpaceDN w:val="0"/>
              <w:adjustRightInd w:val="0"/>
              <w:jc w:val="center"/>
              <w:rPr>
                <w:rFonts w:ascii="TimesNewRomanPSMT" w:hAnsi="TimesNewRomanPSMT" w:cs="TimesNewRomanPSMT"/>
                <w:b/>
                <w:bCs/>
                <w:lang w:val="en-GB"/>
              </w:rPr>
            </w:pPr>
            <w:r>
              <w:rPr>
                <w:rFonts w:ascii="TimesNewRomanPSMT" w:hAnsi="TimesNewRomanPSMT" w:cs="TimesNewRomanPSMT"/>
                <w:b/>
                <w:bCs/>
                <w:lang w:val="en-GB"/>
              </w:rPr>
              <w:t>Crises &amp; t</w:t>
            </w:r>
            <w:r w:rsidRPr="00933763">
              <w:rPr>
                <w:rFonts w:ascii="TimesNewRomanPSMT" w:hAnsi="TimesNewRomanPSMT" w:cs="TimesNewRomanPSMT"/>
                <w:b/>
                <w:bCs/>
                <w:lang w:val="en-GB"/>
              </w:rPr>
              <w:t>ime span</w:t>
            </w:r>
          </w:p>
        </w:tc>
        <w:tc>
          <w:tcPr>
            <w:tcW w:w="2268" w:type="dxa"/>
            <w:shd w:val="clear" w:color="auto" w:fill="E2EFD9" w:themeFill="accent6" w:themeFillTint="33"/>
          </w:tcPr>
          <w:p w14:paraId="5AF7D7D2" w14:textId="77777777" w:rsidR="005504C2" w:rsidRPr="00933763" w:rsidRDefault="005504C2" w:rsidP="005C6916">
            <w:pPr>
              <w:autoSpaceDE w:val="0"/>
              <w:autoSpaceDN w:val="0"/>
              <w:adjustRightInd w:val="0"/>
              <w:jc w:val="center"/>
              <w:rPr>
                <w:rFonts w:ascii="TimesNewRomanPSMT" w:hAnsi="TimesNewRomanPSMT" w:cs="TimesNewRomanPSMT"/>
                <w:b/>
                <w:bCs/>
                <w:lang w:val="en-GB"/>
              </w:rPr>
            </w:pPr>
            <w:r w:rsidRPr="00933763">
              <w:rPr>
                <w:rFonts w:ascii="TimesNewRomanPSMT" w:hAnsi="TimesNewRomanPSMT" w:cs="TimesNewRomanPSMT"/>
                <w:b/>
                <w:bCs/>
                <w:lang w:val="en-GB"/>
              </w:rPr>
              <w:t>Method</w:t>
            </w:r>
            <w:r>
              <w:rPr>
                <w:rFonts w:ascii="TimesNewRomanPSMT" w:hAnsi="TimesNewRomanPSMT" w:cs="TimesNewRomanPSMT"/>
                <w:b/>
                <w:bCs/>
                <w:lang w:val="en-GB"/>
              </w:rPr>
              <w:t>/Analytical framework</w:t>
            </w:r>
          </w:p>
        </w:tc>
        <w:tc>
          <w:tcPr>
            <w:tcW w:w="6663" w:type="dxa"/>
            <w:shd w:val="clear" w:color="auto" w:fill="E2EFD9" w:themeFill="accent6" w:themeFillTint="33"/>
          </w:tcPr>
          <w:p w14:paraId="711F66FB" w14:textId="77777777" w:rsidR="005504C2" w:rsidRPr="00933763" w:rsidRDefault="005504C2" w:rsidP="005C6916">
            <w:pPr>
              <w:autoSpaceDE w:val="0"/>
              <w:autoSpaceDN w:val="0"/>
              <w:adjustRightInd w:val="0"/>
              <w:jc w:val="center"/>
              <w:rPr>
                <w:rFonts w:ascii="TimesNewRomanPSMT" w:hAnsi="TimesNewRomanPSMT" w:cs="TimesNewRomanPSMT"/>
                <w:b/>
                <w:bCs/>
                <w:lang w:val="en-GB"/>
              </w:rPr>
            </w:pPr>
            <w:r w:rsidRPr="00933763">
              <w:rPr>
                <w:rFonts w:ascii="TimesNewRomanPSMT" w:hAnsi="TimesNewRomanPSMT" w:cs="TimesNewRomanPSMT"/>
                <w:b/>
                <w:bCs/>
                <w:lang w:val="en-GB"/>
              </w:rPr>
              <w:t>Main finding</w:t>
            </w:r>
          </w:p>
        </w:tc>
      </w:tr>
      <w:tr w:rsidR="005504C2" w:rsidRPr="004B3779" w14:paraId="3899A2C2" w14:textId="77777777" w:rsidTr="005C6916">
        <w:tc>
          <w:tcPr>
            <w:tcW w:w="638" w:type="dxa"/>
          </w:tcPr>
          <w:p w14:paraId="1923ADC1" w14:textId="77777777" w:rsidR="005504C2" w:rsidRPr="003E3456" w:rsidRDefault="005504C2" w:rsidP="005C6916">
            <w:pPr>
              <w:autoSpaceDE w:val="0"/>
              <w:autoSpaceDN w:val="0"/>
              <w:adjustRightInd w:val="0"/>
              <w:rPr>
                <w:rFonts w:ascii="TimesNewRomanPSMT" w:hAnsi="TimesNewRomanPSMT" w:cs="TimesNewRomanPSMT"/>
                <w:i/>
                <w:iCs/>
                <w:sz w:val="20"/>
                <w:szCs w:val="20"/>
                <w:lang w:val="en-GB"/>
              </w:rPr>
            </w:pPr>
            <w:r w:rsidRPr="003E3456">
              <w:rPr>
                <w:rFonts w:ascii="TimesNewRomanPSMT" w:hAnsi="TimesNewRomanPSMT" w:cs="TimesNewRomanPSMT"/>
                <w:i/>
                <w:iCs/>
                <w:sz w:val="20"/>
                <w:szCs w:val="20"/>
                <w:lang w:val="en-GB"/>
              </w:rPr>
              <w:t>1.</w:t>
            </w:r>
          </w:p>
        </w:tc>
        <w:tc>
          <w:tcPr>
            <w:tcW w:w="1909" w:type="dxa"/>
          </w:tcPr>
          <w:p w14:paraId="08CD749F" w14:textId="77777777" w:rsidR="005504C2" w:rsidRPr="003E3456" w:rsidRDefault="005504C2" w:rsidP="005C6916">
            <w:pPr>
              <w:autoSpaceDE w:val="0"/>
              <w:autoSpaceDN w:val="0"/>
              <w:adjustRightInd w:val="0"/>
              <w:rPr>
                <w:rFonts w:ascii="TimesNewRomanPSMT" w:hAnsi="TimesNewRomanPSMT" w:cs="TimesNewRomanPSMT"/>
                <w:i/>
                <w:iCs/>
                <w:sz w:val="20"/>
                <w:szCs w:val="20"/>
                <w:lang w:val="en-GB"/>
              </w:rPr>
            </w:pPr>
            <w:r w:rsidRPr="003E3456">
              <w:rPr>
                <w:rFonts w:ascii="TimesNewRomanPSMT" w:hAnsi="TimesNewRomanPSMT" w:cs="TimesNewRomanPSMT"/>
                <w:i/>
                <w:iCs/>
                <w:sz w:val="20"/>
                <w:szCs w:val="20"/>
                <w:lang w:val="en-GB"/>
              </w:rPr>
              <w:t>This study</w:t>
            </w:r>
          </w:p>
        </w:tc>
        <w:tc>
          <w:tcPr>
            <w:tcW w:w="1701" w:type="dxa"/>
          </w:tcPr>
          <w:p w14:paraId="4CFFB162" w14:textId="77777777" w:rsidR="005504C2" w:rsidRPr="003E3456" w:rsidRDefault="005504C2" w:rsidP="005C6916">
            <w:pPr>
              <w:autoSpaceDE w:val="0"/>
              <w:autoSpaceDN w:val="0"/>
              <w:adjustRightInd w:val="0"/>
              <w:rPr>
                <w:rFonts w:ascii="TimesNewRomanPSMT" w:hAnsi="TimesNewRomanPSMT" w:cs="TimesNewRomanPSMT"/>
                <w:i/>
                <w:iCs/>
                <w:sz w:val="20"/>
                <w:szCs w:val="20"/>
                <w:lang w:val="en-GB"/>
              </w:rPr>
            </w:pPr>
            <w:r>
              <w:rPr>
                <w:rFonts w:ascii="TimesNewRomanPSMT" w:hAnsi="TimesNewRomanPSMT" w:cs="TimesNewRomanPSMT"/>
                <w:i/>
                <w:iCs/>
                <w:sz w:val="20"/>
                <w:szCs w:val="20"/>
                <w:lang w:val="en-GB"/>
              </w:rPr>
              <w:t>Germany &amp; Spain – energy-related CO</w:t>
            </w:r>
            <w:r w:rsidRPr="00C046AA">
              <w:rPr>
                <w:rFonts w:ascii="TimesNewRomanPSMT" w:hAnsi="TimesNewRomanPSMT" w:cs="TimesNewRomanPSMT"/>
                <w:i/>
                <w:iCs/>
                <w:sz w:val="20"/>
                <w:szCs w:val="20"/>
                <w:vertAlign w:val="subscript"/>
                <w:lang w:val="en-GB"/>
              </w:rPr>
              <w:t>2</w:t>
            </w:r>
            <w:r>
              <w:rPr>
                <w:rFonts w:ascii="TimesNewRomanPSMT" w:hAnsi="TimesNewRomanPSMT" w:cs="TimesNewRomanPSMT"/>
                <w:i/>
                <w:iCs/>
                <w:sz w:val="20"/>
                <w:szCs w:val="20"/>
                <w:lang w:val="en-GB"/>
              </w:rPr>
              <w:t xml:space="preserve"> emissions drivers and policy responses</w:t>
            </w:r>
          </w:p>
        </w:tc>
        <w:tc>
          <w:tcPr>
            <w:tcW w:w="1417" w:type="dxa"/>
          </w:tcPr>
          <w:p w14:paraId="0844CA3B" w14:textId="77777777" w:rsidR="005504C2" w:rsidRPr="003E3456" w:rsidRDefault="005504C2" w:rsidP="005C6916">
            <w:pPr>
              <w:autoSpaceDE w:val="0"/>
              <w:autoSpaceDN w:val="0"/>
              <w:adjustRightInd w:val="0"/>
              <w:rPr>
                <w:rFonts w:ascii="TimesNewRomanPSMT" w:hAnsi="TimesNewRomanPSMT" w:cs="TimesNewRomanPSMT"/>
                <w:i/>
                <w:iCs/>
                <w:sz w:val="20"/>
                <w:szCs w:val="20"/>
                <w:lang w:val="en-GB"/>
              </w:rPr>
            </w:pPr>
            <w:r>
              <w:rPr>
                <w:rFonts w:ascii="TimesNewRomanPSMT" w:hAnsi="TimesNewRomanPSMT" w:cs="TimesNewRomanPSMT"/>
                <w:i/>
                <w:iCs/>
                <w:sz w:val="20"/>
                <w:szCs w:val="20"/>
                <w:lang w:val="en-GB"/>
              </w:rPr>
              <w:t>GFC and Covid-19 crisis, 1998-2021</w:t>
            </w:r>
          </w:p>
        </w:tc>
        <w:tc>
          <w:tcPr>
            <w:tcW w:w="2268" w:type="dxa"/>
          </w:tcPr>
          <w:p w14:paraId="520EF3CD" w14:textId="77777777" w:rsidR="005504C2" w:rsidRPr="003E3456" w:rsidRDefault="005504C2" w:rsidP="005C6916">
            <w:pPr>
              <w:autoSpaceDE w:val="0"/>
              <w:autoSpaceDN w:val="0"/>
              <w:adjustRightInd w:val="0"/>
              <w:rPr>
                <w:rFonts w:ascii="TimesNewRomanPSMT" w:hAnsi="TimesNewRomanPSMT" w:cs="TimesNewRomanPSMT"/>
                <w:i/>
                <w:iCs/>
                <w:sz w:val="20"/>
                <w:szCs w:val="20"/>
                <w:lang w:val="en-GB"/>
              </w:rPr>
            </w:pPr>
            <w:r>
              <w:rPr>
                <w:rFonts w:ascii="TimesNewRomanPSMT" w:hAnsi="TimesNewRomanPSMT" w:cs="TimesNewRomanPSMT"/>
                <w:i/>
                <w:iCs/>
                <w:sz w:val="20"/>
                <w:szCs w:val="20"/>
                <w:lang w:val="en-GB"/>
              </w:rPr>
              <w:t>Comparative policy analysis (critical juncture hypothesis) and Kaya-decomposition.</w:t>
            </w:r>
          </w:p>
        </w:tc>
        <w:tc>
          <w:tcPr>
            <w:tcW w:w="6663" w:type="dxa"/>
          </w:tcPr>
          <w:p w14:paraId="22ABEC6C" w14:textId="77777777" w:rsidR="005504C2" w:rsidRPr="003E3456" w:rsidRDefault="005504C2" w:rsidP="005C6916">
            <w:pPr>
              <w:autoSpaceDE w:val="0"/>
              <w:autoSpaceDN w:val="0"/>
              <w:adjustRightInd w:val="0"/>
              <w:rPr>
                <w:rFonts w:ascii="TimesNewRomanPSMT" w:hAnsi="TimesNewRomanPSMT" w:cs="TimesNewRomanPSMT"/>
                <w:i/>
                <w:iCs/>
                <w:sz w:val="20"/>
                <w:szCs w:val="20"/>
                <w:lang w:val="en-GB"/>
              </w:rPr>
            </w:pPr>
            <w:r w:rsidRPr="00863C78">
              <w:rPr>
                <w:rFonts w:ascii="TimesNewRomanPSMT" w:hAnsi="TimesNewRomanPSMT" w:cs="TimesNewRomanPSMT"/>
                <w:i/>
                <w:iCs/>
                <w:sz w:val="20"/>
                <w:szCs w:val="20"/>
                <w:lang w:val="en-GB"/>
              </w:rPr>
              <w:t>The GFC represented a tipping point for Spanish CO</w:t>
            </w:r>
            <w:r w:rsidRPr="00C046AA">
              <w:rPr>
                <w:rFonts w:ascii="TimesNewRomanPSMT" w:hAnsi="TimesNewRomanPSMT" w:cs="TimesNewRomanPSMT"/>
                <w:i/>
                <w:iCs/>
                <w:sz w:val="20"/>
                <w:szCs w:val="20"/>
                <w:vertAlign w:val="subscript"/>
                <w:lang w:val="en-GB"/>
              </w:rPr>
              <w:t>2</w:t>
            </w:r>
            <w:r w:rsidRPr="00863C78">
              <w:rPr>
                <w:rFonts w:ascii="TimesNewRomanPSMT" w:hAnsi="TimesNewRomanPSMT" w:cs="TimesNewRomanPSMT"/>
                <w:i/>
                <w:iCs/>
                <w:sz w:val="20"/>
                <w:szCs w:val="20"/>
                <w:lang w:val="en-GB"/>
              </w:rPr>
              <w:t xml:space="preserve"> emissions but not for Germany, where continuity was the pattern. The Covid crisis had short-lived emissions reduction in both countries and a relatively strong policy response through green stimulus.</w:t>
            </w:r>
          </w:p>
        </w:tc>
      </w:tr>
      <w:tr w:rsidR="005504C2" w:rsidRPr="004B3779" w14:paraId="6B42DDDE" w14:textId="77777777" w:rsidTr="005C6916">
        <w:tc>
          <w:tcPr>
            <w:tcW w:w="14596" w:type="dxa"/>
            <w:gridSpan w:val="6"/>
            <w:shd w:val="clear" w:color="auto" w:fill="A8D08D" w:themeFill="accent6" w:themeFillTint="99"/>
          </w:tcPr>
          <w:p w14:paraId="7905B6CD" w14:textId="77777777" w:rsidR="005504C2" w:rsidRPr="00933763" w:rsidRDefault="005504C2" w:rsidP="005C6916">
            <w:pPr>
              <w:autoSpaceDE w:val="0"/>
              <w:autoSpaceDN w:val="0"/>
              <w:adjustRightInd w:val="0"/>
              <w:jc w:val="center"/>
              <w:rPr>
                <w:rFonts w:ascii="TimesNewRomanPSMT" w:hAnsi="TimesNewRomanPSMT" w:cs="TimesNewRomanPSMT"/>
                <w:sz w:val="20"/>
                <w:szCs w:val="20"/>
                <w:lang w:val="en-GB"/>
              </w:rPr>
            </w:pPr>
            <w:r>
              <w:rPr>
                <w:rFonts w:ascii="TimesNewRomanPSMT" w:hAnsi="TimesNewRomanPSMT" w:cs="TimesNewRomanPSMT"/>
                <w:sz w:val="20"/>
                <w:szCs w:val="20"/>
                <w:lang w:val="en-GB"/>
              </w:rPr>
              <w:t>Effects on CO</w:t>
            </w:r>
            <w:r w:rsidRPr="003F2458">
              <w:rPr>
                <w:rFonts w:ascii="TimesNewRomanPSMT" w:hAnsi="TimesNewRomanPSMT" w:cs="TimesNewRomanPSMT"/>
                <w:sz w:val="20"/>
                <w:szCs w:val="20"/>
                <w:vertAlign w:val="subscript"/>
                <w:lang w:val="en-GB"/>
              </w:rPr>
              <w:t>2</w:t>
            </w:r>
            <w:r>
              <w:rPr>
                <w:rFonts w:ascii="TimesNewRomanPSMT" w:hAnsi="TimesNewRomanPSMT" w:cs="TimesNewRomanPSMT"/>
                <w:sz w:val="20"/>
                <w:szCs w:val="20"/>
                <w:lang w:val="en-GB"/>
              </w:rPr>
              <w:t xml:space="preserve"> emissions drivers</w:t>
            </w:r>
          </w:p>
        </w:tc>
      </w:tr>
      <w:tr w:rsidR="005504C2" w:rsidRPr="004B3779" w14:paraId="4227DFA5" w14:textId="77777777" w:rsidTr="005C6916">
        <w:tc>
          <w:tcPr>
            <w:tcW w:w="638" w:type="dxa"/>
          </w:tcPr>
          <w:p w14:paraId="7F46702D" w14:textId="77777777" w:rsidR="005504C2"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2</w:t>
            </w:r>
          </w:p>
        </w:tc>
        <w:tc>
          <w:tcPr>
            <w:tcW w:w="1909" w:type="dxa"/>
          </w:tcPr>
          <w:p w14:paraId="4C4A6928" w14:textId="054AED81" w:rsidR="005504C2" w:rsidRPr="00256881"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AuthorYear="1"&gt;&lt;Author&gt;Shammugam&lt;/Author&gt;&lt;Year&gt;2022&lt;/Year&gt;&lt;RecNum&gt;875&lt;/RecNum&gt;&lt;DisplayText&gt;Shammugam et al. (2022)&lt;/DisplayText&gt;&lt;record&gt;&lt;rec-number&gt;875&lt;/rec-number&gt;&lt;foreign-keys&gt;&lt;key app="EN" db-id="zap5wezzop9xpwe0awepz55lfafptea5pr2w" timestamp="1656005646"&gt;875&lt;/key&gt;&lt;/foreign-keys&gt;&lt;ref-type name="Journal Article"&gt;17&lt;/ref-type&gt;&lt;contributors&gt;&lt;authors&gt;&lt;author&gt;Shammugam, Shivenes&lt;/author&gt;&lt;author&gt;Schleich, Joachim&lt;/author&gt;&lt;author&gt;Schlomann, Barbara&lt;/author&gt;&lt;author&gt;Montrone, Lorenzo&lt;/author&gt;&lt;/authors&gt;&lt;/contributors&gt;&lt;titles&gt;&lt;title&gt;Did Germany reach its 2020 climate targets thanks to the COVID-19 pandemic?&lt;/title&gt;&lt;secondary-title&gt;Climate Policy&lt;/secondary-title&gt;&lt;/titles&gt;&lt;periodical&gt;&lt;full-title&gt;Climate Policy&lt;/full-title&gt;&lt;abbr-1&gt;Climate Policy&lt;/abbr-1&gt;&lt;/periodical&gt;&lt;pages&gt;1-15&lt;/pages&gt;&lt;dates&gt;&lt;year&gt;2022&lt;/year&gt;&lt;/dates&gt;&lt;isbn&gt;1469-3062&lt;/isbn&gt;&lt;urls&gt;&lt;/urls&gt;&lt;/record&gt;&lt;/Cite&gt;&lt;/EndNote&gt;</w:instrText>
            </w:r>
            <w:r>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Shammugam et al. (2022)</w:t>
            </w:r>
            <w:r>
              <w:rPr>
                <w:rFonts w:ascii="TimesNewRomanPSMT" w:hAnsi="TimesNewRomanPSMT" w:cs="TimesNewRomanPSMT"/>
                <w:sz w:val="20"/>
                <w:szCs w:val="20"/>
                <w:lang w:val="en-GB"/>
              </w:rPr>
              <w:fldChar w:fldCharType="end"/>
            </w:r>
          </w:p>
        </w:tc>
        <w:tc>
          <w:tcPr>
            <w:tcW w:w="1701" w:type="dxa"/>
          </w:tcPr>
          <w:p w14:paraId="5DB0F248" w14:textId="77777777" w:rsidR="005504C2" w:rsidRPr="00FF5BE6"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Germany: CO</w:t>
            </w:r>
            <w:r w:rsidRPr="009D199A">
              <w:rPr>
                <w:rFonts w:ascii="TimesNewRomanPSMT" w:hAnsi="TimesNewRomanPSMT" w:cs="TimesNewRomanPSMT"/>
                <w:sz w:val="20"/>
                <w:szCs w:val="20"/>
                <w:vertAlign w:val="subscript"/>
                <w:lang w:val="en-GB"/>
              </w:rPr>
              <w:t>2</w:t>
            </w:r>
            <w:r>
              <w:rPr>
                <w:rFonts w:ascii="TimesNewRomanPSMT" w:hAnsi="TimesNewRomanPSMT" w:cs="TimesNewRomanPSMT"/>
                <w:sz w:val="20"/>
                <w:szCs w:val="20"/>
                <w:lang w:val="en-GB"/>
              </w:rPr>
              <w:t xml:space="preserve"> emissions, total and per sectors. </w:t>
            </w:r>
          </w:p>
        </w:tc>
        <w:tc>
          <w:tcPr>
            <w:tcW w:w="1417" w:type="dxa"/>
          </w:tcPr>
          <w:p w14:paraId="684B8A52" w14:textId="77777777" w:rsidR="005504C2"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Covid-19, 2020-21.</w:t>
            </w:r>
          </w:p>
        </w:tc>
        <w:tc>
          <w:tcPr>
            <w:tcW w:w="2268" w:type="dxa"/>
          </w:tcPr>
          <w:p w14:paraId="350667A6" w14:textId="77777777" w:rsidR="005504C2"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Decomposition analysis and a</w:t>
            </w:r>
            <w:r w:rsidRPr="00227331">
              <w:rPr>
                <w:rFonts w:ascii="TimesNewRomanPSMT" w:hAnsi="TimesNewRomanPSMT" w:cs="TimesNewRomanPSMT"/>
                <w:sz w:val="20"/>
                <w:szCs w:val="20"/>
                <w:lang w:val="en-GB"/>
              </w:rPr>
              <w:t>utoregressive econometric models</w:t>
            </w:r>
            <w:r>
              <w:rPr>
                <w:rFonts w:ascii="TimesNewRomanPSMT" w:hAnsi="TimesNewRomanPSMT" w:cs="TimesNewRomanPSMT"/>
                <w:sz w:val="20"/>
                <w:szCs w:val="20"/>
                <w:lang w:val="en-GB"/>
              </w:rPr>
              <w:t xml:space="preserve"> </w:t>
            </w:r>
          </w:p>
        </w:tc>
        <w:tc>
          <w:tcPr>
            <w:tcW w:w="6663" w:type="dxa"/>
          </w:tcPr>
          <w:p w14:paraId="51C30872" w14:textId="77777777" w:rsidR="005504C2" w:rsidRPr="00227331"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A</w:t>
            </w:r>
            <w:r w:rsidRPr="00227331">
              <w:rPr>
                <w:rFonts w:ascii="TimesNewRomanPSMT" w:hAnsi="TimesNewRomanPSMT" w:cs="TimesNewRomanPSMT"/>
                <w:sz w:val="20"/>
                <w:szCs w:val="20"/>
                <w:lang w:val="en-GB"/>
              </w:rPr>
              <w:t>bout 58% of the reduction in</w:t>
            </w:r>
            <w:r>
              <w:rPr>
                <w:rFonts w:ascii="TimesNewRomanPSMT" w:hAnsi="TimesNewRomanPSMT" w:cs="TimesNewRomanPSMT"/>
                <w:sz w:val="20"/>
                <w:szCs w:val="20"/>
                <w:lang w:val="en-GB"/>
              </w:rPr>
              <w:t xml:space="preserve"> </w:t>
            </w:r>
            <w:r w:rsidRPr="00227331">
              <w:rPr>
                <w:rFonts w:ascii="TimesNewRomanPSMT" w:hAnsi="TimesNewRomanPSMT" w:cs="TimesNewRomanPSMT"/>
                <w:sz w:val="20"/>
                <w:szCs w:val="20"/>
                <w:lang w:val="en-GB"/>
              </w:rPr>
              <w:t>emissions between 2019 and 2020 in Germany may be attributed to the pandemic</w:t>
            </w:r>
            <w:r>
              <w:rPr>
                <w:rFonts w:ascii="TimesNewRomanPSMT" w:hAnsi="TimesNewRomanPSMT" w:cs="TimesNewRomanPSMT"/>
                <w:sz w:val="20"/>
                <w:szCs w:val="20"/>
                <w:lang w:val="en-GB"/>
              </w:rPr>
              <w:t>. T</w:t>
            </w:r>
            <w:r w:rsidRPr="00227331">
              <w:rPr>
                <w:rFonts w:ascii="TimesNewRomanPSMT" w:hAnsi="TimesNewRomanPSMT" w:cs="TimesNewRomanPSMT"/>
                <w:sz w:val="20"/>
                <w:szCs w:val="20"/>
                <w:lang w:val="en-GB"/>
              </w:rPr>
              <w:t xml:space="preserve">he buildings sector failed to meet its </w:t>
            </w:r>
            <w:r>
              <w:rPr>
                <w:rFonts w:ascii="TimesNewRomanPSMT" w:hAnsi="TimesNewRomanPSMT" w:cs="TimesNewRomanPSMT"/>
                <w:sz w:val="20"/>
                <w:szCs w:val="20"/>
                <w:lang w:val="en-GB"/>
              </w:rPr>
              <w:t xml:space="preserve">climate </w:t>
            </w:r>
            <w:r w:rsidRPr="00227331">
              <w:rPr>
                <w:rFonts w:ascii="TimesNewRomanPSMT" w:hAnsi="TimesNewRomanPSMT" w:cs="TimesNewRomanPSMT"/>
                <w:sz w:val="20"/>
                <w:szCs w:val="20"/>
                <w:lang w:val="en-GB"/>
              </w:rPr>
              <w:t>target in 2020</w:t>
            </w:r>
          </w:p>
        </w:tc>
      </w:tr>
      <w:tr w:rsidR="005504C2" w:rsidRPr="004B3779" w14:paraId="72FD8C1F" w14:textId="77777777" w:rsidTr="005C6916">
        <w:tc>
          <w:tcPr>
            <w:tcW w:w="638" w:type="dxa"/>
          </w:tcPr>
          <w:p w14:paraId="0EBB9BCE" w14:textId="77777777" w:rsidR="005504C2"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3</w:t>
            </w:r>
          </w:p>
        </w:tc>
        <w:tc>
          <w:tcPr>
            <w:tcW w:w="1909" w:type="dxa"/>
          </w:tcPr>
          <w:p w14:paraId="4E54DFAA" w14:textId="1F814D5C" w:rsidR="005504C2"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AuthorYear="1"&gt;&lt;Author&gt;Li&lt;/Author&gt;&lt;Year&gt;2021&lt;/Year&gt;&lt;RecNum&gt;914&lt;/RecNum&gt;&lt;DisplayText&gt;Li et al. (2021)&lt;/DisplayText&gt;&lt;record&gt;&lt;rec-number&gt;914&lt;/rec-number&gt;&lt;foreign-keys&gt;&lt;key app="EN" db-id="zap5wezzop9xpwe0awepz55lfafptea5pr2w" timestamp="1665064576"&gt;914&lt;/key&gt;&lt;/foreign-keys&gt;&lt;ref-type name="Journal Article"&gt;17&lt;/ref-type&gt;&lt;contributors&gt;&lt;authors&gt;&lt;author&gt;Li, Rongrong&lt;/author&gt;&lt;author&gt;Wang, Qiang&lt;/author&gt;&lt;author&gt;Liu, Yi&lt;/author&gt;&lt;author&gt;Yang, Xue&lt;/author&gt;&lt;/authors&gt;&lt;/contributors&gt;&lt;titles&gt;&lt;title&gt;How can Germany reduce production-based and consumption-based carbon emissions? A decomposition analysis&lt;/title&gt;&lt;secondary-title&gt;Carbon Management&lt;/secondary-title&gt;&lt;/titles&gt;&lt;periodical&gt;&lt;full-title&gt;Carbon Management&lt;/full-title&gt;&lt;/periodical&gt;&lt;pages&gt;335-357&lt;/pages&gt;&lt;volume&gt;12&lt;/volume&gt;&lt;number&gt;4&lt;/number&gt;&lt;dates&gt;&lt;year&gt;2021&lt;/year&gt;&lt;/dates&gt;&lt;isbn&gt;1758-3004&lt;/isbn&gt;&lt;urls&gt;&lt;/urls&gt;&lt;/record&gt;&lt;/Cite&gt;&lt;/EndNote&gt;</w:instrText>
            </w:r>
            <w:r>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Li et al. (2021)</w:t>
            </w:r>
            <w:r>
              <w:rPr>
                <w:rFonts w:ascii="TimesNewRomanPSMT" w:hAnsi="TimesNewRomanPSMT" w:cs="TimesNewRomanPSMT"/>
                <w:sz w:val="20"/>
                <w:szCs w:val="20"/>
                <w:lang w:val="en-GB"/>
              </w:rPr>
              <w:fldChar w:fldCharType="end"/>
            </w:r>
          </w:p>
        </w:tc>
        <w:tc>
          <w:tcPr>
            <w:tcW w:w="1701" w:type="dxa"/>
          </w:tcPr>
          <w:p w14:paraId="29154E95" w14:textId="77777777" w:rsidR="005504C2"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Germany: production and consumption-based CO</w:t>
            </w:r>
            <w:r w:rsidRPr="004F6B1D">
              <w:rPr>
                <w:rFonts w:ascii="TimesNewRomanPSMT" w:hAnsi="TimesNewRomanPSMT" w:cs="TimesNewRomanPSMT"/>
                <w:sz w:val="20"/>
                <w:szCs w:val="20"/>
                <w:vertAlign w:val="subscript"/>
                <w:lang w:val="en-GB"/>
              </w:rPr>
              <w:t>2</w:t>
            </w:r>
            <w:r>
              <w:rPr>
                <w:rFonts w:ascii="TimesNewRomanPSMT" w:hAnsi="TimesNewRomanPSMT" w:cs="TimesNewRomanPSMT"/>
                <w:sz w:val="20"/>
                <w:szCs w:val="20"/>
                <w:lang w:val="en-GB"/>
              </w:rPr>
              <w:t xml:space="preserve"> emissions  </w:t>
            </w:r>
          </w:p>
        </w:tc>
        <w:tc>
          <w:tcPr>
            <w:tcW w:w="1417" w:type="dxa"/>
          </w:tcPr>
          <w:p w14:paraId="31746B18" w14:textId="77777777" w:rsidR="005504C2"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GFC, 2000-15</w:t>
            </w:r>
          </w:p>
        </w:tc>
        <w:tc>
          <w:tcPr>
            <w:tcW w:w="2268" w:type="dxa"/>
          </w:tcPr>
          <w:p w14:paraId="5A3D3DB3" w14:textId="77777777" w:rsidR="005504C2" w:rsidRPr="00702F9A"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M</w:t>
            </w:r>
            <w:r w:rsidRPr="00702F9A">
              <w:rPr>
                <w:rFonts w:ascii="TimesNewRomanPSMT" w:hAnsi="TimesNewRomanPSMT" w:cs="TimesNewRomanPSMT"/>
                <w:sz w:val="20"/>
                <w:szCs w:val="20"/>
                <w:lang w:val="en-GB"/>
              </w:rPr>
              <w:t>ulti-regional input-output and structural decomposition analysis</w:t>
            </w:r>
          </w:p>
        </w:tc>
        <w:tc>
          <w:tcPr>
            <w:tcW w:w="6663" w:type="dxa"/>
          </w:tcPr>
          <w:p w14:paraId="7A74EEE4" w14:textId="77777777" w:rsidR="005504C2" w:rsidRDefault="005504C2" w:rsidP="005C6916">
            <w:pPr>
              <w:autoSpaceDE w:val="0"/>
              <w:autoSpaceDN w:val="0"/>
              <w:adjustRightInd w:val="0"/>
              <w:rPr>
                <w:rFonts w:ascii="TimesNewRomanPSMT" w:hAnsi="TimesNewRomanPSMT" w:cs="TimesNewRomanPSMT"/>
                <w:sz w:val="20"/>
                <w:szCs w:val="20"/>
                <w:lang w:val="en-GB"/>
              </w:rPr>
            </w:pPr>
            <w:bookmarkStart w:id="2" w:name="_Hlk115971394"/>
            <w:r w:rsidRPr="009433F1">
              <w:rPr>
                <w:rFonts w:ascii="TimesNewRomanPSMT" w:hAnsi="TimesNewRomanPSMT" w:cs="TimesNewRomanPSMT"/>
                <w:sz w:val="20"/>
                <w:szCs w:val="20"/>
                <w:lang w:val="en-GB"/>
              </w:rPr>
              <w:t xml:space="preserve">Production-based and consumption-based </w:t>
            </w:r>
            <w:r w:rsidRPr="0068226C">
              <w:rPr>
                <w:rFonts w:ascii="TimesNewRomanPSMT" w:hAnsi="TimesNewRomanPSMT" w:cs="TimesNewRomanPSMT"/>
                <w:sz w:val="20"/>
                <w:szCs w:val="20"/>
                <w:lang w:val="en-GB"/>
              </w:rPr>
              <w:t>CO</w:t>
            </w:r>
            <w:r w:rsidRPr="008C3C19">
              <w:rPr>
                <w:rFonts w:ascii="TimesNewRomanPSMT" w:hAnsi="TimesNewRomanPSMT" w:cs="TimesNewRomanPSMT"/>
                <w:sz w:val="20"/>
                <w:szCs w:val="20"/>
                <w:vertAlign w:val="subscript"/>
                <w:lang w:val="en-GB"/>
              </w:rPr>
              <w:t>2</w:t>
            </w:r>
            <w:r w:rsidRPr="009433F1">
              <w:rPr>
                <w:rFonts w:ascii="TimesNewRomanPSMT" w:hAnsi="TimesNewRomanPSMT" w:cs="TimesNewRomanPSMT"/>
                <w:sz w:val="20"/>
                <w:szCs w:val="20"/>
                <w:lang w:val="en-GB"/>
              </w:rPr>
              <w:t xml:space="preserve"> emission</w:t>
            </w:r>
            <w:r>
              <w:rPr>
                <w:rFonts w:ascii="TimesNewRomanPSMT" w:hAnsi="TimesNewRomanPSMT" w:cs="TimesNewRomanPSMT"/>
                <w:sz w:val="20"/>
                <w:szCs w:val="20"/>
                <w:lang w:val="en-GB"/>
              </w:rPr>
              <w:t xml:space="preserve"> </w:t>
            </w:r>
            <w:r w:rsidRPr="009433F1">
              <w:rPr>
                <w:rFonts w:ascii="TimesNewRomanPSMT" w:hAnsi="TimesNewRomanPSMT" w:cs="TimesNewRomanPSMT"/>
                <w:sz w:val="20"/>
                <w:szCs w:val="20"/>
                <w:lang w:val="en-GB"/>
              </w:rPr>
              <w:t xml:space="preserve">in Germany declined by 2.8% and 8.5% </w:t>
            </w:r>
            <w:r>
              <w:rPr>
                <w:rFonts w:ascii="TimesNewRomanPSMT" w:hAnsi="TimesNewRomanPSMT" w:cs="TimesNewRomanPSMT"/>
                <w:sz w:val="20"/>
                <w:szCs w:val="20"/>
                <w:lang w:val="en-GB"/>
              </w:rPr>
              <w:t>in</w:t>
            </w:r>
            <w:r w:rsidRPr="009433F1">
              <w:rPr>
                <w:rFonts w:ascii="TimesNewRomanPSMT" w:hAnsi="TimesNewRomanPSMT" w:cs="TimesNewRomanPSMT"/>
                <w:sz w:val="20"/>
                <w:szCs w:val="20"/>
                <w:lang w:val="en-GB"/>
              </w:rPr>
              <w:t xml:space="preserve"> 2000</w:t>
            </w:r>
            <w:r>
              <w:rPr>
                <w:rFonts w:ascii="TimesNewRomanPSMT" w:hAnsi="TimesNewRomanPSMT" w:cs="TimesNewRomanPSMT"/>
                <w:sz w:val="20"/>
                <w:szCs w:val="20"/>
                <w:lang w:val="en-GB"/>
              </w:rPr>
              <w:t>-</w:t>
            </w:r>
            <w:r w:rsidRPr="009433F1">
              <w:rPr>
                <w:rFonts w:ascii="TimesNewRomanPSMT" w:hAnsi="TimesNewRomanPSMT" w:cs="TimesNewRomanPSMT"/>
                <w:sz w:val="20"/>
                <w:szCs w:val="20"/>
                <w:lang w:val="en-GB"/>
              </w:rPr>
              <w:t>15</w:t>
            </w:r>
            <w:bookmarkEnd w:id="2"/>
            <w:r>
              <w:rPr>
                <w:rFonts w:ascii="TimesNewRomanPSMT" w:hAnsi="TimesNewRomanPSMT" w:cs="TimesNewRomanPSMT"/>
                <w:sz w:val="20"/>
                <w:szCs w:val="20"/>
                <w:lang w:val="en-GB"/>
              </w:rPr>
              <w:t xml:space="preserve">; </w:t>
            </w:r>
            <w:r w:rsidRPr="009433F1">
              <w:rPr>
                <w:rFonts w:ascii="TimesNewRomanPSMT" w:hAnsi="TimesNewRomanPSMT" w:cs="TimesNewRomanPSMT"/>
                <w:sz w:val="20"/>
                <w:szCs w:val="20"/>
                <w:lang w:val="en-GB"/>
              </w:rPr>
              <w:t>the decreasing effect of carbon intensity</w:t>
            </w:r>
            <w:r>
              <w:rPr>
                <w:rFonts w:ascii="TimesNewRomanPSMT" w:hAnsi="TimesNewRomanPSMT" w:cs="TimesNewRomanPSMT"/>
                <w:sz w:val="20"/>
                <w:szCs w:val="20"/>
                <w:lang w:val="en-GB"/>
              </w:rPr>
              <w:t xml:space="preserve"> </w:t>
            </w:r>
            <w:r w:rsidRPr="009433F1">
              <w:rPr>
                <w:rFonts w:ascii="TimesNewRomanPSMT" w:hAnsi="TimesNewRomanPSMT" w:cs="TimesNewRomanPSMT"/>
                <w:sz w:val="20"/>
                <w:szCs w:val="20"/>
                <w:lang w:val="en-GB"/>
              </w:rPr>
              <w:t>coefficient exceeded the increasing effect of economic scale, lead</w:t>
            </w:r>
            <w:r>
              <w:rPr>
                <w:rFonts w:ascii="TimesNewRomanPSMT" w:hAnsi="TimesNewRomanPSMT" w:cs="TimesNewRomanPSMT"/>
                <w:sz w:val="20"/>
                <w:szCs w:val="20"/>
                <w:lang w:val="en-GB"/>
              </w:rPr>
              <w:t>ing</w:t>
            </w:r>
            <w:r w:rsidRPr="009433F1">
              <w:rPr>
                <w:rFonts w:ascii="TimesNewRomanPSMT" w:hAnsi="TimesNewRomanPSMT" w:cs="TimesNewRomanPSMT"/>
                <w:sz w:val="20"/>
                <w:szCs w:val="20"/>
                <w:lang w:val="en-GB"/>
              </w:rPr>
              <w:t xml:space="preserve"> to </w:t>
            </w:r>
            <w:r w:rsidRPr="0065187B">
              <w:rPr>
                <w:rFonts w:ascii="TimesNewRomanPSMT" w:hAnsi="TimesNewRomanPSMT" w:cs="TimesNewRomanPSMT"/>
                <w:sz w:val="20"/>
                <w:szCs w:val="20"/>
                <w:lang w:val="en-GB"/>
              </w:rPr>
              <w:t>CO</w:t>
            </w:r>
            <w:r w:rsidRPr="00C046AA">
              <w:rPr>
                <w:rFonts w:ascii="TimesNewRomanPSMT" w:hAnsi="TimesNewRomanPSMT" w:cs="TimesNewRomanPSMT"/>
                <w:sz w:val="20"/>
                <w:szCs w:val="20"/>
                <w:vertAlign w:val="subscript"/>
                <w:lang w:val="en-GB"/>
              </w:rPr>
              <w:t>2</w:t>
            </w:r>
            <w:r w:rsidRPr="009433F1">
              <w:rPr>
                <w:rFonts w:ascii="TimesNewRomanPSMT" w:hAnsi="TimesNewRomanPSMT" w:cs="TimesNewRomanPSMT"/>
                <w:sz w:val="20"/>
                <w:szCs w:val="20"/>
                <w:lang w:val="en-GB"/>
              </w:rPr>
              <w:t xml:space="preserve"> reduction</w:t>
            </w:r>
          </w:p>
        </w:tc>
      </w:tr>
      <w:tr w:rsidR="005504C2" w:rsidRPr="004B3779" w14:paraId="2E4BC7C1" w14:textId="77777777" w:rsidTr="005C6916">
        <w:tc>
          <w:tcPr>
            <w:tcW w:w="638" w:type="dxa"/>
          </w:tcPr>
          <w:p w14:paraId="03F585AA" w14:textId="77777777" w:rsidR="005504C2"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4</w:t>
            </w:r>
          </w:p>
        </w:tc>
        <w:tc>
          <w:tcPr>
            <w:tcW w:w="1909" w:type="dxa"/>
          </w:tcPr>
          <w:p w14:paraId="7D157CBB" w14:textId="626B98CE" w:rsidR="005504C2" w:rsidRPr="00256881"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AuthorYear="1"&gt;&lt;Author&gt;Kopidou&lt;/Author&gt;&lt;Year&gt;2017&lt;/Year&gt;&lt;RecNum&gt;800&lt;/RecNum&gt;&lt;DisplayText&gt;Kopidou and Diakoulaki (2017)&lt;/DisplayText&gt;&lt;record&gt;&lt;rec-number&gt;800&lt;/rec-number&gt;&lt;foreign-keys&gt;&lt;key app="EN" db-id="zap5wezzop9xpwe0awepz55lfafptea5pr2w" timestamp="1646145833"&gt;800&lt;/key&gt;&lt;/foreign-keys&gt;&lt;ref-type name="Journal Article"&gt;17&lt;/ref-type&gt;&lt;contributors&gt;&lt;authors&gt;&lt;author&gt;Kopidou, D&lt;/author&gt;&lt;author&gt;Diakoulaki, D&lt;/author&gt;&lt;/authors&gt;&lt;/contributors&gt;&lt;titles&gt;&lt;title&gt;Decomposing industrial CO2 emissions of Southern European countries into production-and consumption-based driving factors&lt;/title&gt;&lt;secondary-title&gt;Journal of Cleaner Production&lt;/secondary-title&gt;&lt;/titles&gt;&lt;periodical&gt;&lt;full-title&gt;Journal of Cleaner Production&lt;/full-title&gt;&lt;/periodical&gt;&lt;pages&gt;1325-1334&lt;/pages&gt;&lt;volume&gt;167&lt;/volume&gt;&lt;dates&gt;&lt;year&gt;2017&lt;/year&gt;&lt;/dates&gt;&lt;isbn&gt;0959-6526&lt;/isbn&gt;&lt;urls&gt;&lt;/urls&gt;&lt;/record&gt;&lt;/Cite&gt;&lt;/EndNote&gt;</w:instrText>
            </w:r>
            <w:r>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Kopidou and Diakoulaki (2017)</w:t>
            </w:r>
            <w:r>
              <w:rPr>
                <w:rFonts w:ascii="TimesNewRomanPSMT" w:hAnsi="TimesNewRomanPSMT" w:cs="TimesNewRomanPSMT"/>
                <w:sz w:val="20"/>
                <w:szCs w:val="20"/>
                <w:lang w:val="en-GB"/>
              </w:rPr>
              <w:fldChar w:fldCharType="end"/>
            </w:r>
          </w:p>
        </w:tc>
        <w:tc>
          <w:tcPr>
            <w:tcW w:w="1701" w:type="dxa"/>
          </w:tcPr>
          <w:p w14:paraId="3C5F180E" w14:textId="77777777" w:rsidR="005504C2" w:rsidRPr="00A1532E"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Greece, Italy, Portugal, </w:t>
            </w:r>
            <w:r w:rsidRPr="00A1532E">
              <w:rPr>
                <w:rFonts w:ascii="TimesNewRomanPSMT" w:hAnsi="TimesNewRomanPSMT" w:cs="TimesNewRomanPSMT"/>
                <w:i/>
                <w:iCs/>
                <w:sz w:val="20"/>
                <w:szCs w:val="20"/>
                <w:lang w:val="en-GB"/>
              </w:rPr>
              <w:t>Spain</w:t>
            </w:r>
            <w:r>
              <w:rPr>
                <w:rFonts w:ascii="TimesNewRomanPSMT" w:hAnsi="TimesNewRomanPSMT" w:cs="TimesNewRomanPSMT"/>
                <w:i/>
                <w:iCs/>
                <w:sz w:val="20"/>
                <w:szCs w:val="20"/>
                <w:lang w:val="en-GB"/>
              </w:rPr>
              <w:t xml:space="preserve">: </w:t>
            </w:r>
            <w:r w:rsidRPr="00A1532E">
              <w:rPr>
                <w:rFonts w:ascii="TimesNewRomanPSMT" w:hAnsi="TimesNewRomanPSMT" w:cs="TimesNewRomanPSMT"/>
                <w:sz w:val="20"/>
                <w:szCs w:val="20"/>
                <w:lang w:val="en-GB"/>
              </w:rPr>
              <w:t>industrial CO</w:t>
            </w:r>
            <w:r w:rsidRPr="00A1532E">
              <w:rPr>
                <w:rFonts w:ascii="TimesNewRomanPSMT" w:hAnsi="TimesNewRomanPSMT" w:cs="TimesNewRomanPSMT"/>
                <w:sz w:val="20"/>
                <w:szCs w:val="20"/>
                <w:vertAlign w:val="subscript"/>
                <w:lang w:val="en-GB"/>
              </w:rPr>
              <w:t>2</w:t>
            </w:r>
            <w:r w:rsidRPr="00A1532E">
              <w:rPr>
                <w:rFonts w:ascii="TimesNewRomanPSMT" w:hAnsi="TimesNewRomanPSMT" w:cs="TimesNewRomanPSMT"/>
                <w:sz w:val="20"/>
                <w:szCs w:val="20"/>
                <w:lang w:val="en-GB"/>
              </w:rPr>
              <w:t xml:space="preserve"> emissions</w:t>
            </w:r>
          </w:p>
        </w:tc>
        <w:tc>
          <w:tcPr>
            <w:tcW w:w="1417" w:type="dxa"/>
          </w:tcPr>
          <w:p w14:paraId="272AB052" w14:textId="77777777" w:rsidR="005504C2"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GFC, 2000-11</w:t>
            </w:r>
          </w:p>
        </w:tc>
        <w:tc>
          <w:tcPr>
            <w:tcW w:w="2268" w:type="dxa"/>
          </w:tcPr>
          <w:p w14:paraId="2BBB0E76" w14:textId="77777777" w:rsidR="005504C2" w:rsidRDefault="005504C2" w:rsidP="005C6916">
            <w:pPr>
              <w:autoSpaceDE w:val="0"/>
              <w:autoSpaceDN w:val="0"/>
              <w:adjustRightInd w:val="0"/>
              <w:rPr>
                <w:rFonts w:ascii="TimesNewRomanPSMT" w:hAnsi="TimesNewRomanPSMT" w:cs="TimesNewRomanPSMT"/>
                <w:sz w:val="20"/>
                <w:szCs w:val="20"/>
                <w:lang w:val="en-GB"/>
              </w:rPr>
            </w:pPr>
            <w:r w:rsidRPr="00BA7997">
              <w:rPr>
                <w:rFonts w:ascii="TimesNewRomanPSMT" w:hAnsi="TimesNewRomanPSMT" w:cs="TimesNewRomanPSMT"/>
                <w:sz w:val="20"/>
                <w:szCs w:val="20"/>
                <w:lang w:val="en-GB"/>
              </w:rPr>
              <w:t>LMDI</w:t>
            </w:r>
            <w:r>
              <w:rPr>
                <w:rFonts w:ascii="TimesNewRomanPSMT" w:hAnsi="TimesNewRomanPSMT" w:cs="TimesNewRomanPSMT"/>
                <w:sz w:val="20"/>
                <w:szCs w:val="20"/>
                <w:lang w:val="en-GB"/>
              </w:rPr>
              <w:t xml:space="preserve"> decomposition </w:t>
            </w:r>
          </w:p>
        </w:tc>
        <w:tc>
          <w:tcPr>
            <w:tcW w:w="6663" w:type="dxa"/>
          </w:tcPr>
          <w:p w14:paraId="42268215" w14:textId="77777777" w:rsidR="005504C2" w:rsidRPr="0068226C"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Pr</w:t>
            </w:r>
            <w:r w:rsidRPr="0068226C">
              <w:rPr>
                <w:rFonts w:ascii="TimesNewRomanPSMT" w:hAnsi="TimesNewRomanPSMT" w:cs="TimesNewRomanPSMT"/>
                <w:sz w:val="20"/>
                <w:szCs w:val="20"/>
                <w:lang w:val="en-GB"/>
              </w:rPr>
              <w:t>oduction-based</w:t>
            </w:r>
            <w:r>
              <w:rPr>
                <w:rFonts w:ascii="TimesNewRomanPSMT" w:hAnsi="TimesNewRomanPSMT" w:cs="TimesNewRomanPSMT"/>
                <w:sz w:val="20"/>
                <w:szCs w:val="20"/>
                <w:lang w:val="en-GB"/>
              </w:rPr>
              <w:t xml:space="preserve"> </w:t>
            </w:r>
            <w:r w:rsidRPr="0068226C">
              <w:rPr>
                <w:rFonts w:ascii="TimesNewRomanPSMT" w:hAnsi="TimesNewRomanPSMT" w:cs="TimesNewRomanPSMT"/>
                <w:sz w:val="20"/>
                <w:szCs w:val="20"/>
                <w:lang w:val="en-GB"/>
              </w:rPr>
              <w:t xml:space="preserve">factors </w:t>
            </w:r>
            <w:r>
              <w:rPr>
                <w:rFonts w:ascii="TimesNewRomanPSMT" w:hAnsi="TimesNewRomanPSMT" w:cs="TimesNewRomanPSMT"/>
                <w:sz w:val="20"/>
                <w:szCs w:val="20"/>
                <w:lang w:val="en-GB"/>
              </w:rPr>
              <w:t xml:space="preserve">(mainly economic activity and energy intensity) </w:t>
            </w:r>
            <w:r w:rsidRPr="0068226C">
              <w:rPr>
                <w:rFonts w:ascii="TimesNewRomanPSMT" w:hAnsi="TimesNewRomanPSMT" w:cs="TimesNewRomanPSMT"/>
                <w:sz w:val="20"/>
                <w:szCs w:val="20"/>
                <w:lang w:val="en-GB"/>
              </w:rPr>
              <w:t>contributed more to the change in industrial CO</w:t>
            </w:r>
            <w:r w:rsidRPr="008C3C19">
              <w:rPr>
                <w:rFonts w:ascii="TimesNewRomanPSMT" w:hAnsi="TimesNewRomanPSMT" w:cs="TimesNewRomanPSMT"/>
                <w:sz w:val="20"/>
                <w:szCs w:val="20"/>
                <w:vertAlign w:val="subscript"/>
                <w:lang w:val="en-GB"/>
              </w:rPr>
              <w:t>2</w:t>
            </w:r>
            <w:r w:rsidRPr="0068226C">
              <w:rPr>
                <w:rFonts w:ascii="TimesNewRomanPSMT" w:hAnsi="TimesNewRomanPSMT" w:cs="TimesNewRomanPSMT"/>
                <w:sz w:val="20"/>
                <w:szCs w:val="20"/>
                <w:lang w:val="en-GB"/>
              </w:rPr>
              <w:t xml:space="preserve"> emissions than the consumption</w:t>
            </w:r>
            <w:r>
              <w:rPr>
                <w:rFonts w:ascii="TimesNewRomanPSMT" w:hAnsi="TimesNewRomanPSMT" w:cs="TimesNewRomanPSMT"/>
                <w:sz w:val="20"/>
                <w:szCs w:val="20"/>
                <w:lang w:val="en-GB"/>
              </w:rPr>
              <w:t xml:space="preserve">-based </w:t>
            </w:r>
            <w:r w:rsidRPr="0068226C">
              <w:rPr>
                <w:rFonts w:ascii="TimesNewRomanPSMT" w:hAnsi="TimesNewRomanPSMT" w:cs="TimesNewRomanPSMT"/>
                <w:sz w:val="20"/>
                <w:szCs w:val="20"/>
                <w:lang w:val="en-GB"/>
              </w:rPr>
              <w:t>factors</w:t>
            </w:r>
            <w:r>
              <w:rPr>
                <w:rFonts w:ascii="TimesNewRomanPSMT" w:hAnsi="TimesNewRomanPSMT" w:cs="TimesNewRomanPSMT"/>
                <w:sz w:val="20"/>
                <w:szCs w:val="20"/>
                <w:lang w:val="en-GB"/>
              </w:rPr>
              <w:t>. T</w:t>
            </w:r>
            <w:r w:rsidRPr="0068226C">
              <w:rPr>
                <w:rFonts w:ascii="TimesNewRomanPSMT" w:hAnsi="TimesNewRomanPSMT" w:cs="TimesNewRomanPSMT"/>
                <w:sz w:val="20"/>
                <w:szCs w:val="20"/>
                <w:lang w:val="en-GB"/>
              </w:rPr>
              <w:t xml:space="preserve">he </w:t>
            </w:r>
            <w:r>
              <w:rPr>
                <w:rFonts w:ascii="TimesNewRomanPSMT" w:hAnsi="TimesNewRomanPSMT" w:cs="TimesNewRomanPSMT"/>
                <w:sz w:val="20"/>
                <w:szCs w:val="20"/>
                <w:lang w:val="en-GB"/>
              </w:rPr>
              <w:t xml:space="preserve">consumers </w:t>
            </w:r>
            <w:r w:rsidRPr="0068226C">
              <w:rPr>
                <w:rFonts w:ascii="TimesNewRomanPSMT" w:hAnsi="TimesNewRomanPSMT" w:cs="TimesNewRomanPSMT"/>
                <w:sz w:val="20"/>
                <w:szCs w:val="20"/>
                <w:lang w:val="en-GB"/>
              </w:rPr>
              <w:t>‘preferences did not switch to a</w:t>
            </w:r>
          </w:p>
          <w:p w14:paraId="5A5948D4" w14:textId="77777777" w:rsidR="005504C2" w:rsidRDefault="005504C2" w:rsidP="005C6916">
            <w:pPr>
              <w:autoSpaceDE w:val="0"/>
              <w:autoSpaceDN w:val="0"/>
              <w:adjustRightInd w:val="0"/>
              <w:rPr>
                <w:rFonts w:ascii="TimesNewRomanPSMT" w:hAnsi="TimesNewRomanPSMT" w:cs="TimesNewRomanPSMT"/>
                <w:sz w:val="20"/>
                <w:szCs w:val="20"/>
                <w:lang w:val="en-GB"/>
              </w:rPr>
            </w:pPr>
            <w:r w:rsidRPr="0068226C">
              <w:rPr>
                <w:rFonts w:ascii="TimesNewRomanPSMT" w:hAnsi="TimesNewRomanPSMT" w:cs="TimesNewRomanPSMT"/>
                <w:sz w:val="20"/>
                <w:szCs w:val="20"/>
                <w:lang w:val="en-GB"/>
              </w:rPr>
              <w:t>more environmentally conscious use of industrial products.</w:t>
            </w:r>
          </w:p>
        </w:tc>
      </w:tr>
      <w:tr w:rsidR="005504C2" w:rsidRPr="004B3779" w14:paraId="0DC12D74" w14:textId="77777777" w:rsidTr="005C6916">
        <w:tc>
          <w:tcPr>
            <w:tcW w:w="638" w:type="dxa"/>
          </w:tcPr>
          <w:p w14:paraId="2C3B0FAE"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5 </w:t>
            </w:r>
          </w:p>
        </w:tc>
        <w:tc>
          <w:tcPr>
            <w:tcW w:w="1909" w:type="dxa"/>
          </w:tcPr>
          <w:p w14:paraId="70D55482" w14:textId="2F871B67" w:rsidR="005504C2" w:rsidRPr="00256881" w:rsidRDefault="005504C2" w:rsidP="005C6916">
            <w:pPr>
              <w:autoSpaceDE w:val="0"/>
              <w:autoSpaceDN w:val="0"/>
              <w:adjustRightInd w:val="0"/>
              <w:rPr>
                <w:rFonts w:ascii="TimesNewRomanPSMT" w:hAnsi="TimesNewRomanPSMT" w:cs="TimesNewRomanPSMT"/>
                <w:sz w:val="20"/>
                <w:szCs w:val="20"/>
                <w:lang w:val="en-GB"/>
              </w:rPr>
            </w:pPr>
            <w:r w:rsidRPr="00256881">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AuthorYear="1"&gt;&lt;Author&gt;Cansino&lt;/Author&gt;&lt;Year&gt;2016&lt;/Year&gt;&lt;RecNum&gt;797&lt;/RecNum&gt;&lt;DisplayText&gt;Cansino et al. (2016)&lt;/DisplayText&gt;&lt;record&gt;&lt;rec-number&gt;797&lt;/rec-number&gt;&lt;foreign-keys&gt;&lt;key app="EN" db-id="zap5wezzop9xpwe0awepz55lfafptea5pr2w" timestamp="1646130970"&gt;797&lt;/key&gt;&lt;/foreign-keys&gt;&lt;ref-type name="Journal Article"&gt;17&lt;/ref-type&gt;&lt;contributors&gt;&lt;authors&gt;&lt;author&gt;Cansino, José M&lt;/author&gt;&lt;author&gt;Roman, Rocio&lt;/author&gt;&lt;author&gt;Ordonez, Manuel&lt;/author&gt;&lt;/authors&gt;&lt;/contributors&gt;&lt;titles&gt;&lt;title&gt;Main drivers of changes in CO2 emissions in the Spanish economy: A structural decomposition analysis&lt;/title&gt;&lt;secondary-title&gt;Energy Policy&lt;/secondary-title&gt;&lt;/titles&gt;&lt;periodical&gt;&lt;full-title&gt;Energy Policy&lt;/full-title&gt;&lt;abbr-1&gt;Energy Policy&lt;/abbr-1&gt;&lt;/periodical&gt;&lt;pages&gt;150-159&lt;/pages&gt;&lt;volume&gt;89&lt;/volume&gt;&lt;dates&gt;&lt;year&gt;2016&lt;/year&gt;&lt;/dates&gt;&lt;isbn&gt;0301-4215&lt;/isbn&gt;&lt;urls&gt;&lt;/urls&gt;&lt;/record&gt;&lt;/Cite&gt;&lt;/EndNote&gt;</w:instrText>
            </w:r>
            <w:r w:rsidRPr="00256881">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Cansino et al. (2016)</w:t>
            </w:r>
            <w:r w:rsidRPr="00256881">
              <w:rPr>
                <w:rFonts w:ascii="TimesNewRomanPSMT" w:hAnsi="TimesNewRomanPSMT" w:cs="TimesNewRomanPSMT"/>
                <w:sz w:val="20"/>
                <w:szCs w:val="20"/>
                <w:lang w:val="en-GB"/>
              </w:rPr>
              <w:fldChar w:fldCharType="end"/>
            </w:r>
          </w:p>
        </w:tc>
        <w:tc>
          <w:tcPr>
            <w:tcW w:w="1701" w:type="dxa"/>
          </w:tcPr>
          <w:p w14:paraId="4317F850" w14:textId="77777777" w:rsidR="005504C2" w:rsidRPr="00FF5BE6" w:rsidRDefault="005504C2" w:rsidP="005C6916">
            <w:pPr>
              <w:autoSpaceDE w:val="0"/>
              <w:autoSpaceDN w:val="0"/>
              <w:adjustRightInd w:val="0"/>
              <w:rPr>
                <w:rFonts w:ascii="TimesNewRomanPSMT" w:hAnsi="TimesNewRomanPSMT" w:cs="TimesNewRomanPSMT"/>
                <w:sz w:val="20"/>
                <w:szCs w:val="20"/>
                <w:lang w:val="en-GB"/>
              </w:rPr>
            </w:pPr>
            <w:r w:rsidRPr="00FF5BE6">
              <w:rPr>
                <w:rFonts w:ascii="TimesNewRomanPSMT" w:hAnsi="TimesNewRomanPSMT" w:cs="TimesNewRomanPSMT"/>
                <w:sz w:val="20"/>
                <w:szCs w:val="20"/>
                <w:lang w:val="en-GB"/>
              </w:rPr>
              <w:t>Spain, – energy-related CO</w:t>
            </w:r>
            <w:r w:rsidRPr="00DA41B0">
              <w:rPr>
                <w:rFonts w:ascii="TimesNewRomanPSMT" w:hAnsi="TimesNewRomanPSMT" w:cs="TimesNewRomanPSMT"/>
                <w:sz w:val="20"/>
                <w:szCs w:val="20"/>
                <w:vertAlign w:val="subscript"/>
                <w:lang w:val="en-GB"/>
              </w:rPr>
              <w:t>2</w:t>
            </w:r>
            <w:r w:rsidRPr="00FF5BE6">
              <w:rPr>
                <w:rFonts w:ascii="TimesNewRomanPSMT" w:hAnsi="TimesNewRomanPSMT" w:cs="TimesNewRomanPSMT"/>
                <w:sz w:val="20"/>
                <w:szCs w:val="20"/>
                <w:lang w:val="en-GB"/>
              </w:rPr>
              <w:t xml:space="preserve"> emissions drivers</w:t>
            </w:r>
          </w:p>
        </w:tc>
        <w:tc>
          <w:tcPr>
            <w:tcW w:w="1417" w:type="dxa"/>
          </w:tcPr>
          <w:p w14:paraId="099DDCEC"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GFC, 1995-2009</w:t>
            </w:r>
          </w:p>
        </w:tc>
        <w:tc>
          <w:tcPr>
            <w:tcW w:w="2268" w:type="dxa"/>
          </w:tcPr>
          <w:p w14:paraId="083104A2"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Structural Decomposition Analysis based on Input-Output tables</w:t>
            </w:r>
          </w:p>
        </w:tc>
        <w:tc>
          <w:tcPr>
            <w:tcW w:w="6663" w:type="dxa"/>
          </w:tcPr>
          <w:p w14:paraId="5B8B657C" w14:textId="77777777" w:rsidR="005504C2" w:rsidRPr="00A63B5E"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“T</w:t>
            </w:r>
            <w:r w:rsidRPr="00A63B5E">
              <w:rPr>
                <w:rFonts w:ascii="TimesNewRomanPSMT" w:hAnsi="TimesNewRomanPSMT" w:cs="TimesNewRomanPSMT"/>
                <w:sz w:val="20"/>
                <w:szCs w:val="20"/>
                <w:lang w:val="en-GB"/>
              </w:rPr>
              <w:t>he</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largest</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decline</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in</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CO</w:t>
            </w:r>
            <w:r w:rsidRPr="00A63B5E">
              <w:rPr>
                <w:rFonts w:ascii="TimesNewRomanPSMT" w:hAnsi="TimesNewRomanPSMT" w:cs="TimesNewRomanPSMT"/>
                <w:sz w:val="20"/>
                <w:szCs w:val="20"/>
                <w:vertAlign w:val="subscript"/>
                <w:lang w:val="en-GB"/>
              </w:rPr>
              <w:t>2</w:t>
            </w:r>
            <w:r w:rsidRPr="00A63B5E">
              <w:rPr>
                <w:rFonts w:ascii="TimesNewRomanPSMT" w:hAnsi="TimesNewRomanPSMT" w:cs="TimesNewRomanPSMT"/>
                <w:sz w:val="20"/>
                <w:szCs w:val="20"/>
                <w:lang w:val="en-GB"/>
              </w:rPr>
              <w:t xml:space="preserve"> emissions</w:t>
            </w:r>
            <w:r>
              <w:rPr>
                <w:rFonts w:ascii="TimesNewRomanPSMT" w:hAnsi="TimesNewRomanPSMT" w:cs="TimesNewRomanPSMT"/>
                <w:sz w:val="20"/>
                <w:szCs w:val="20"/>
                <w:lang w:val="en-GB"/>
              </w:rPr>
              <w:t xml:space="preserve"> 1995-2009</w:t>
            </w:r>
            <w:r w:rsidRPr="00A63B5E">
              <w:rPr>
                <w:rFonts w:ascii="TimesNewRomanPSMT" w:hAnsi="TimesNewRomanPSMT" w:cs="TimesNewRomanPSMT"/>
                <w:sz w:val="20"/>
                <w:szCs w:val="20"/>
                <w:lang w:val="en-GB"/>
              </w:rPr>
              <w:t xml:space="preserve"> </w:t>
            </w:r>
            <w:r>
              <w:rPr>
                <w:rFonts w:ascii="TimesNewRomanPSMT" w:hAnsi="TimesNewRomanPSMT" w:cs="TimesNewRomanPSMT"/>
                <w:sz w:val="20"/>
                <w:szCs w:val="20"/>
                <w:lang w:val="en-GB"/>
              </w:rPr>
              <w:t xml:space="preserve">was </w:t>
            </w:r>
            <w:r w:rsidRPr="00A63B5E">
              <w:rPr>
                <w:rFonts w:ascii="TimesNewRomanPSMT" w:hAnsi="TimesNewRomanPSMT" w:cs="TimesNewRomanPSMT"/>
                <w:sz w:val="20"/>
                <w:szCs w:val="20"/>
                <w:lang w:val="en-GB"/>
              </w:rPr>
              <w:t>due</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to</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the</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carbonization</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and</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intensity</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effects,</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and</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the</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largest</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increases</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in</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CO</w:t>
            </w:r>
            <w:r w:rsidRPr="00A63B5E">
              <w:rPr>
                <w:rFonts w:ascii="TimesNewRomanPSMT" w:hAnsi="TimesNewRomanPSMT" w:cs="TimesNewRomanPSMT"/>
                <w:sz w:val="20"/>
                <w:szCs w:val="20"/>
                <w:vertAlign w:val="subscript"/>
                <w:lang w:val="en-GB"/>
              </w:rPr>
              <w:t>2</w:t>
            </w:r>
            <w:r w:rsidRPr="00A63B5E">
              <w:rPr>
                <w:rFonts w:ascii="TimesNewRomanPSMT" w:hAnsi="TimesNewRomanPSMT" w:cs="TimesNewRomanPSMT"/>
                <w:sz w:val="20"/>
                <w:szCs w:val="20"/>
                <w:lang w:val="en-GB"/>
              </w:rPr>
              <w:t xml:space="preserve"> emissions due</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to</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the technological</w:t>
            </w:r>
            <w:r>
              <w:rPr>
                <w:rFonts w:ascii="TimesNewRomanPSMT" w:hAnsi="TimesNewRomanPSMT" w:cs="TimesNewRomanPSMT"/>
                <w:sz w:val="20"/>
                <w:szCs w:val="20"/>
                <w:lang w:val="en-GB"/>
              </w:rPr>
              <w:t xml:space="preserve"> (</w:t>
            </w:r>
            <w:r w:rsidRPr="00FF5BE6">
              <w:rPr>
                <w:rFonts w:ascii="TimesNewRomanPSMT" w:hAnsi="TimesNewRomanPSMT" w:cs="TimesNewRomanPSMT"/>
                <w:i/>
                <w:iCs/>
                <w:sz w:val="20"/>
                <w:szCs w:val="20"/>
                <w:lang w:val="en-GB"/>
              </w:rPr>
              <w:t>here, the economic structure</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and</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scale</w:t>
            </w:r>
            <w:r>
              <w:rPr>
                <w:rFonts w:ascii="TimesNewRomanPSMT" w:hAnsi="TimesNewRomanPSMT" w:cs="TimesNewRomanPSMT"/>
                <w:sz w:val="20"/>
                <w:szCs w:val="20"/>
                <w:lang w:val="en-GB"/>
              </w:rPr>
              <w:t xml:space="preserve"> </w:t>
            </w:r>
            <w:r w:rsidRPr="00A63B5E">
              <w:rPr>
                <w:rFonts w:ascii="TimesNewRomanPSMT" w:hAnsi="TimesNewRomanPSMT" w:cs="TimesNewRomanPSMT"/>
                <w:sz w:val="20"/>
                <w:szCs w:val="20"/>
                <w:lang w:val="en-GB"/>
              </w:rPr>
              <w:t>effects</w:t>
            </w:r>
            <w:r>
              <w:rPr>
                <w:rFonts w:ascii="TimesNewRomanPSMT" w:hAnsi="TimesNewRomanPSMT" w:cs="TimesNewRomanPSMT"/>
                <w:sz w:val="20"/>
                <w:szCs w:val="20"/>
                <w:lang w:val="en-GB"/>
              </w:rPr>
              <w:t>”</w:t>
            </w:r>
            <w:r w:rsidRPr="00A63B5E">
              <w:rPr>
                <w:rFonts w:ascii="TimesNewRomanPSMT" w:hAnsi="TimesNewRomanPSMT" w:cs="TimesNewRomanPSMT"/>
                <w:sz w:val="20"/>
                <w:szCs w:val="20"/>
                <w:lang w:val="en-GB"/>
              </w:rPr>
              <w:t>.</w:t>
            </w:r>
          </w:p>
        </w:tc>
      </w:tr>
      <w:tr w:rsidR="005504C2" w:rsidRPr="004B3779" w14:paraId="7236FB0D" w14:textId="77777777" w:rsidTr="005C6916">
        <w:tc>
          <w:tcPr>
            <w:tcW w:w="638" w:type="dxa"/>
          </w:tcPr>
          <w:p w14:paraId="46F961BB"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6. </w:t>
            </w:r>
          </w:p>
        </w:tc>
        <w:tc>
          <w:tcPr>
            <w:tcW w:w="1909" w:type="dxa"/>
          </w:tcPr>
          <w:p w14:paraId="68270B50" w14:textId="7807834A"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AuthorYear="1"&gt;&lt;Author&gt;Cansino&lt;/Author&gt;&lt;Year&gt;2015&lt;/Year&gt;&lt;RecNum&gt;794&lt;/RecNum&gt;&lt;DisplayText&gt;Cansino et al. (2015)&lt;/DisplayText&gt;&lt;record&gt;&lt;rec-number&gt;794&lt;/rec-number&gt;&lt;foreign-keys&gt;&lt;key app="EN" db-id="zap5wezzop9xpwe0awepz55lfafptea5pr2w" timestamp="1646064780"&gt;794&lt;/key&gt;&lt;/foreign-keys&gt;&lt;ref-type name="Journal Article"&gt;17&lt;/ref-type&gt;&lt;contributors&gt;&lt;authors&gt;&lt;author&gt;Cansino, José M&lt;/author&gt;&lt;author&gt;Sánchez-Braza, Antonio&lt;/author&gt;&lt;author&gt;Rodríguez-Arévalo, María L&lt;/author&gt;&lt;/authors&gt;&lt;/contributors&gt;&lt;titles&gt;&lt;title&gt;Driving forces of Spain׳ s CO2 emissions: A LMDI decomposition approach&lt;/title&gt;&lt;secondary-title&gt;Renewable and Sustainable Energy Reviews&lt;/secondary-title&gt;&lt;/titles&gt;&lt;periodical&gt;&lt;full-title&gt;Renewable and Sustainable Energy Reviews&lt;/full-title&gt;&lt;/periodical&gt;&lt;pages&gt;749-759&lt;/pages&gt;&lt;volume&gt;48&lt;/volume&gt;&lt;dates&gt;&lt;year&gt;2015&lt;/year&gt;&lt;/dates&gt;&lt;isbn&gt;1364-0321&lt;/isbn&gt;&lt;urls&gt;&lt;/urls&gt;&lt;/record&gt;&lt;/Cite&gt;&lt;/EndNote&gt;</w:instrText>
            </w:r>
            <w:r>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Cansino et al. (2015)</w:t>
            </w:r>
            <w:r>
              <w:rPr>
                <w:rFonts w:ascii="TimesNewRomanPSMT" w:hAnsi="TimesNewRomanPSMT" w:cs="TimesNewRomanPSMT"/>
                <w:sz w:val="20"/>
                <w:szCs w:val="20"/>
                <w:lang w:val="en-GB"/>
              </w:rPr>
              <w:fldChar w:fldCharType="end"/>
            </w:r>
          </w:p>
        </w:tc>
        <w:tc>
          <w:tcPr>
            <w:tcW w:w="1701" w:type="dxa"/>
          </w:tcPr>
          <w:p w14:paraId="3CE9E7BC" w14:textId="77777777" w:rsidR="005504C2" w:rsidRPr="00FF5BE6" w:rsidRDefault="005504C2" w:rsidP="005C6916">
            <w:pPr>
              <w:autoSpaceDE w:val="0"/>
              <w:autoSpaceDN w:val="0"/>
              <w:adjustRightInd w:val="0"/>
              <w:rPr>
                <w:rFonts w:ascii="TimesNewRomanPSMT" w:hAnsi="TimesNewRomanPSMT" w:cs="TimesNewRomanPSMT"/>
                <w:sz w:val="20"/>
                <w:szCs w:val="20"/>
                <w:lang w:val="en-GB"/>
              </w:rPr>
            </w:pPr>
            <w:r w:rsidRPr="00FF5BE6">
              <w:rPr>
                <w:rFonts w:ascii="TimesNewRomanPSMT" w:hAnsi="TimesNewRomanPSMT" w:cs="TimesNewRomanPSMT"/>
                <w:sz w:val="20"/>
                <w:szCs w:val="20"/>
                <w:lang w:val="en-GB"/>
              </w:rPr>
              <w:t>Spain, – energy-related CO</w:t>
            </w:r>
            <w:r w:rsidRPr="00315C86">
              <w:rPr>
                <w:rFonts w:ascii="TimesNewRomanPSMT" w:hAnsi="TimesNewRomanPSMT" w:cs="TimesNewRomanPSMT"/>
                <w:sz w:val="20"/>
                <w:szCs w:val="20"/>
                <w:vertAlign w:val="subscript"/>
                <w:lang w:val="en-GB"/>
              </w:rPr>
              <w:t>2</w:t>
            </w:r>
            <w:r w:rsidRPr="00FF5BE6">
              <w:rPr>
                <w:rFonts w:ascii="TimesNewRomanPSMT" w:hAnsi="TimesNewRomanPSMT" w:cs="TimesNewRomanPSMT"/>
                <w:sz w:val="20"/>
                <w:szCs w:val="20"/>
                <w:lang w:val="en-GB"/>
              </w:rPr>
              <w:t xml:space="preserve"> emissions drivers</w:t>
            </w:r>
          </w:p>
        </w:tc>
        <w:tc>
          <w:tcPr>
            <w:tcW w:w="1417" w:type="dxa"/>
          </w:tcPr>
          <w:p w14:paraId="746BF1CF"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GFC, 1995-2009</w:t>
            </w:r>
          </w:p>
        </w:tc>
        <w:tc>
          <w:tcPr>
            <w:tcW w:w="2268" w:type="dxa"/>
          </w:tcPr>
          <w:p w14:paraId="6C287C38"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Multisector LMDI decomposition analysis based on Input-Output tables</w:t>
            </w:r>
          </w:p>
        </w:tc>
        <w:tc>
          <w:tcPr>
            <w:tcW w:w="6663" w:type="dxa"/>
          </w:tcPr>
          <w:p w14:paraId="68327171" w14:textId="77777777" w:rsidR="005504C2" w:rsidRPr="0096414B"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“(Renewable energy) </w:t>
            </w:r>
            <w:r w:rsidRPr="0096414B">
              <w:rPr>
                <w:rFonts w:ascii="TimesNewRomanPSMT" w:hAnsi="TimesNewRomanPSMT" w:cs="TimesNewRomanPSMT"/>
                <w:sz w:val="20"/>
                <w:szCs w:val="20"/>
                <w:lang w:val="en-GB"/>
              </w:rPr>
              <w:t>acted</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in</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detriment</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to</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the</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drivers</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of</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CO</w:t>
            </w:r>
            <w:r w:rsidRPr="00315C86">
              <w:rPr>
                <w:rFonts w:ascii="TimesNewRomanPSMT" w:hAnsi="TimesNewRomanPSMT" w:cs="TimesNewRomanPSMT"/>
                <w:sz w:val="20"/>
                <w:szCs w:val="20"/>
                <w:vertAlign w:val="subscript"/>
                <w:lang w:val="en-GB"/>
              </w:rPr>
              <w:t>2</w:t>
            </w:r>
            <w:r w:rsidRPr="0096414B">
              <w:rPr>
                <w:rFonts w:ascii="TimesNewRomanPSMT" w:hAnsi="TimesNewRomanPSMT" w:cs="TimesNewRomanPSMT"/>
                <w:sz w:val="20"/>
                <w:szCs w:val="20"/>
                <w:lang w:val="en-GB"/>
              </w:rPr>
              <w:t xml:space="preserve"> emissions. This</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may</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be</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stated</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for</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the</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last</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few</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years</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under</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consideration.</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The</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positive</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trend</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for</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the</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share</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of</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RES</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in</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Spain'</w:t>
            </w:r>
            <w:r>
              <w:rPr>
                <w:rFonts w:ascii="TimesNewRomanPSMT" w:hAnsi="TimesNewRomanPSMT" w:cs="TimesNewRomanPSMT"/>
                <w:sz w:val="20"/>
                <w:szCs w:val="20"/>
                <w:lang w:val="en-GB"/>
              </w:rPr>
              <w:t xml:space="preserve">s </w:t>
            </w:r>
            <w:r w:rsidRPr="0096414B">
              <w:rPr>
                <w:rFonts w:ascii="TimesNewRomanPSMT" w:hAnsi="TimesNewRomanPSMT" w:cs="TimesNewRomanPSMT"/>
                <w:sz w:val="20"/>
                <w:szCs w:val="20"/>
                <w:lang w:val="en-GB"/>
              </w:rPr>
              <w:t>energy</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matrix, together</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with</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the</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negative</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tendency</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in</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the</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use</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of</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fossil</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fuels,</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leads</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us</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to</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be</w:t>
            </w:r>
            <w:r>
              <w:rPr>
                <w:rFonts w:ascii="TimesNewRomanPSMT" w:hAnsi="TimesNewRomanPSMT" w:cs="TimesNewRomanPSMT"/>
                <w:sz w:val="20"/>
                <w:szCs w:val="20"/>
                <w:lang w:val="en-GB"/>
              </w:rPr>
              <w:t xml:space="preserve"> </w:t>
            </w:r>
            <w:r w:rsidRPr="0096414B">
              <w:rPr>
                <w:rFonts w:ascii="TimesNewRomanPSMT" w:hAnsi="TimesNewRomanPSMT" w:cs="TimesNewRomanPSMT"/>
                <w:sz w:val="20"/>
                <w:szCs w:val="20"/>
                <w:lang w:val="en-GB"/>
              </w:rPr>
              <w:t>optimistic</w:t>
            </w:r>
            <w:r>
              <w:rPr>
                <w:rFonts w:ascii="TimesNewRomanPSMT" w:hAnsi="TimesNewRomanPSMT" w:cs="TimesNewRomanPSMT"/>
                <w:sz w:val="20"/>
                <w:szCs w:val="20"/>
                <w:lang w:val="en-GB"/>
              </w:rPr>
              <w:t>”</w:t>
            </w:r>
            <w:r w:rsidRPr="0096414B">
              <w:rPr>
                <w:rFonts w:ascii="TimesNewRomanPSMT" w:hAnsi="TimesNewRomanPSMT" w:cs="TimesNewRomanPSMT"/>
                <w:sz w:val="20"/>
                <w:szCs w:val="20"/>
                <w:lang w:val="en-GB"/>
              </w:rPr>
              <w:t>.</w:t>
            </w:r>
          </w:p>
        </w:tc>
      </w:tr>
      <w:tr w:rsidR="005504C2" w:rsidRPr="004B3779" w14:paraId="296D44B8" w14:textId="77777777" w:rsidTr="005C6916">
        <w:tc>
          <w:tcPr>
            <w:tcW w:w="638" w:type="dxa"/>
          </w:tcPr>
          <w:p w14:paraId="424A1D5B"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7</w:t>
            </w:r>
          </w:p>
        </w:tc>
        <w:tc>
          <w:tcPr>
            <w:tcW w:w="1909" w:type="dxa"/>
          </w:tcPr>
          <w:p w14:paraId="3054FACF" w14:textId="093864BF" w:rsidR="005504C2" w:rsidRPr="00FF5BE6" w:rsidRDefault="005504C2" w:rsidP="005C6916">
            <w:pPr>
              <w:autoSpaceDE w:val="0"/>
              <w:autoSpaceDN w:val="0"/>
              <w:adjustRightInd w:val="0"/>
              <w:rPr>
                <w:rFonts w:ascii="TimesNewRomanPSMT" w:hAnsi="TimesNewRomanPSMT" w:cs="TimesNewRomanPSMT"/>
                <w:sz w:val="20"/>
                <w:szCs w:val="20"/>
                <w:lang w:val="en-GB"/>
              </w:rPr>
            </w:pPr>
            <w:r w:rsidRPr="00FF5BE6">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AuthorYear="1"&gt;&lt;Author&gt;O’Mahony&lt;/Author&gt;&lt;Year&gt;2015&lt;/Year&gt;&lt;RecNum&gt;867&lt;/RecNum&gt;&lt;DisplayText&gt;O’Mahony and Dufour (2015)&lt;/DisplayText&gt;&lt;record&gt;&lt;rec-number&gt;867&lt;/rec-number&gt;&lt;foreign-keys&gt;&lt;key app="EN" db-id="zap5wezzop9xpwe0awepz55lfafptea5pr2w" timestamp="1655296940"&gt;867&lt;/key&gt;&lt;/foreign-keys&gt;&lt;ref-type name="Journal Article"&gt;17&lt;/ref-type&gt;&lt;contributors&gt;&lt;authors&gt;&lt;author&gt;O’Mahony, Tadhg&lt;/author&gt;&lt;author&gt;Dufour, Javier&lt;/author&gt;&lt;/authors&gt;&lt;/contributors&gt;&lt;titles&gt;&lt;title&gt;Tracking development paths: Monitoring driving forces and the impact of carbon-free energy sources in Spain&lt;/title&gt;&lt;secondary-title&gt;Environmental Science &amp;amp; Policy&lt;/secondary-title&gt;&lt;/titles&gt;&lt;periodical&gt;&lt;full-title&gt;Environmental Science &amp;amp; Policy&lt;/full-title&gt;&lt;abbr-1&gt;Environmental Science &amp;amp; Policy&lt;/abbr-1&gt;&lt;/periodical&gt;&lt;pages&gt;62-73&lt;/pages&gt;&lt;volume&gt;50&lt;/volume&gt;&lt;dates&gt;&lt;year&gt;2015&lt;/year&gt;&lt;/dates&gt;&lt;isbn&gt;1462-9011&lt;/isbn&gt;&lt;urls&gt;&lt;/urls&gt;&lt;/record&gt;&lt;/Cite&gt;&lt;/EndNote&gt;</w:instrText>
            </w:r>
            <w:r w:rsidRPr="00FF5BE6">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O’Mahony and Dufour (2015)</w:t>
            </w:r>
            <w:r w:rsidRPr="00FF5BE6">
              <w:rPr>
                <w:rFonts w:ascii="TimesNewRomanPSMT" w:hAnsi="TimesNewRomanPSMT" w:cs="TimesNewRomanPSMT"/>
                <w:sz w:val="20"/>
                <w:szCs w:val="20"/>
                <w:lang w:val="en-GB"/>
              </w:rPr>
              <w:fldChar w:fldCharType="end"/>
            </w:r>
          </w:p>
        </w:tc>
        <w:tc>
          <w:tcPr>
            <w:tcW w:w="1701" w:type="dxa"/>
          </w:tcPr>
          <w:p w14:paraId="4726AD5E" w14:textId="77777777" w:rsidR="005504C2" w:rsidRPr="00897C2E" w:rsidRDefault="005504C2" w:rsidP="005C6916">
            <w:pPr>
              <w:autoSpaceDE w:val="0"/>
              <w:autoSpaceDN w:val="0"/>
              <w:adjustRightInd w:val="0"/>
              <w:rPr>
                <w:rFonts w:ascii="TimesNewRomanPSMT" w:hAnsi="TimesNewRomanPSMT" w:cs="TimesNewRomanPSMT"/>
                <w:strike/>
                <w:sz w:val="20"/>
                <w:szCs w:val="20"/>
                <w:lang w:val="en-GB"/>
              </w:rPr>
            </w:pPr>
            <w:r w:rsidRPr="00FF5BE6">
              <w:rPr>
                <w:rFonts w:ascii="TimesNewRomanPSMT" w:hAnsi="TimesNewRomanPSMT" w:cs="TimesNewRomanPSMT"/>
                <w:sz w:val="20"/>
                <w:szCs w:val="20"/>
                <w:lang w:val="en-GB"/>
              </w:rPr>
              <w:t>Spain, – energy-related CO</w:t>
            </w:r>
            <w:r w:rsidRPr="00EE407E">
              <w:rPr>
                <w:rFonts w:ascii="TimesNewRomanPSMT" w:hAnsi="TimesNewRomanPSMT" w:cs="TimesNewRomanPSMT"/>
                <w:sz w:val="20"/>
                <w:szCs w:val="20"/>
                <w:vertAlign w:val="subscript"/>
                <w:lang w:val="en-GB"/>
              </w:rPr>
              <w:t>2</w:t>
            </w:r>
            <w:r w:rsidRPr="00FF5BE6">
              <w:rPr>
                <w:rFonts w:ascii="TimesNewRomanPSMT" w:hAnsi="TimesNewRomanPSMT" w:cs="TimesNewRomanPSMT"/>
                <w:sz w:val="20"/>
                <w:szCs w:val="20"/>
                <w:lang w:val="en-GB"/>
              </w:rPr>
              <w:t xml:space="preserve"> emissions drivers</w:t>
            </w:r>
          </w:p>
        </w:tc>
        <w:tc>
          <w:tcPr>
            <w:tcW w:w="1417" w:type="dxa"/>
          </w:tcPr>
          <w:p w14:paraId="31D5C4A5" w14:textId="77777777" w:rsidR="005504C2" w:rsidRPr="00897C2E" w:rsidRDefault="005504C2" w:rsidP="005C6916">
            <w:pPr>
              <w:autoSpaceDE w:val="0"/>
              <w:autoSpaceDN w:val="0"/>
              <w:adjustRightInd w:val="0"/>
              <w:rPr>
                <w:rFonts w:ascii="TimesNewRomanPSMT" w:hAnsi="TimesNewRomanPSMT" w:cs="TimesNewRomanPSMT"/>
                <w:strike/>
                <w:sz w:val="20"/>
                <w:szCs w:val="20"/>
                <w:lang w:val="en-GB"/>
              </w:rPr>
            </w:pPr>
            <w:r>
              <w:rPr>
                <w:rFonts w:ascii="TimesNewRomanPSMT" w:hAnsi="TimesNewRomanPSMT" w:cs="TimesNewRomanPSMT"/>
                <w:sz w:val="20"/>
                <w:szCs w:val="20"/>
                <w:lang w:val="en-GB"/>
              </w:rPr>
              <w:t>GFC, 1990-2011</w:t>
            </w:r>
          </w:p>
        </w:tc>
        <w:tc>
          <w:tcPr>
            <w:tcW w:w="2268" w:type="dxa"/>
          </w:tcPr>
          <w:p w14:paraId="70E5AB15" w14:textId="77777777" w:rsidR="005504C2" w:rsidRPr="00B32FB4"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D</w:t>
            </w:r>
            <w:r w:rsidRPr="00B32FB4">
              <w:rPr>
                <w:rFonts w:ascii="TimesNewRomanPSMT" w:hAnsi="TimesNewRomanPSMT" w:cs="TimesNewRomanPSMT"/>
                <w:sz w:val="20"/>
                <w:szCs w:val="20"/>
                <w:lang w:val="en-GB"/>
              </w:rPr>
              <w:t>ivisia index decompo-</w:t>
            </w:r>
          </w:p>
          <w:p w14:paraId="35E126DC" w14:textId="77777777" w:rsidR="005504C2" w:rsidRPr="00897C2E" w:rsidRDefault="005504C2" w:rsidP="005C6916">
            <w:pPr>
              <w:autoSpaceDE w:val="0"/>
              <w:autoSpaceDN w:val="0"/>
              <w:adjustRightInd w:val="0"/>
              <w:rPr>
                <w:rFonts w:ascii="TimesNewRomanPSMT" w:hAnsi="TimesNewRomanPSMT" w:cs="TimesNewRomanPSMT"/>
                <w:strike/>
                <w:sz w:val="20"/>
                <w:szCs w:val="20"/>
                <w:lang w:val="en-GB"/>
              </w:rPr>
            </w:pPr>
            <w:r w:rsidRPr="00B32FB4">
              <w:rPr>
                <w:rFonts w:ascii="TimesNewRomanPSMT" w:hAnsi="TimesNewRomanPSMT" w:cs="TimesNewRomanPSMT"/>
                <w:sz w:val="20"/>
                <w:szCs w:val="20"/>
                <w:lang w:val="en-GB"/>
              </w:rPr>
              <w:t>sition</w:t>
            </w:r>
          </w:p>
        </w:tc>
        <w:tc>
          <w:tcPr>
            <w:tcW w:w="6663" w:type="dxa"/>
          </w:tcPr>
          <w:p w14:paraId="199CA4DC" w14:textId="77777777" w:rsidR="005504C2" w:rsidRPr="00B32FB4"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“A</w:t>
            </w:r>
            <w:r w:rsidRPr="00B32FB4">
              <w:rPr>
                <w:rFonts w:ascii="TimesNewRomanPSMT" w:hAnsi="TimesNewRomanPSMT" w:cs="TimesNewRomanPSMT"/>
                <w:sz w:val="20"/>
                <w:szCs w:val="20"/>
                <w:lang w:val="en-GB"/>
              </w:rPr>
              <w:t>ffluence and population have acted to increase emissions</w:t>
            </w:r>
            <w:r>
              <w:rPr>
                <w:rFonts w:ascii="TimesNewRomanPSMT" w:hAnsi="TimesNewRomanPSMT" w:cs="TimesNewRomanPSMT"/>
                <w:sz w:val="20"/>
                <w:szCs w:val="20"/>
                <w:lang w:val="en-GB"/>
              </w:rPr>
              <w:t xml:space="preserve"> </w:t>
            </w:r>
            <w:r w:rsidRPr="00B32FB4">
              <w:rPr>
                <w:rFonts w:ascii="TimesNewRomanPSMT" w:hAnsi="TimesNewRomanPSMT" w:cs="TimesNewRomanPSMT"/>
                <w:sz w:val="20"/>
                <w:szCs w:val="20"/>
                <w:lang w:val="en-GB"/>
              </w:rPr>
              <w:t>and energy intensity was increasing until recent years. Fuel substitution has acted to</w:t>
            </w:r>
            <w:r>
              <w:rPr>
                <w:rFonts w:ascii="TimesNewRomanPSMT" w:hAnsi="TimesNewRomanPSMT" w:cs="TimesNewRomanPSMT"/>
                <w:sz w:val="20"/>
                <w:szCs w:val="20"/>
                <w:lang w:val="en-GB"/>
              </w:rPr>
              <w:t xml:space="preserve"> </w:t>
            </w:r>
            <w:r w:rsidRPr="00B32FB4">
              <w:rPr>
                <w:rFonts w:ascii="TimesNewRomanPSMT" w:hAnsi="TimesNewRomanPSMT" w:cs="TimesNewRomanPSMT"/>
                <w:sz w:val="20"/>
                <w:szCs w:val="20"/>
                <w:lang w:val="en-GB"/>
              </w:rPr>
              <w:t>decrease emissions but while renewable energy has reduced emissions with the increasing</w:t>
            </w:r>
            <w:r>
              <w:rPr>
                <w:rFonts w:ascii="TimesNewRomanPSMT" w:hAnsi="TimesNewRomanPSMT" w:cs="TimesNewRomanPSMT"/>
                <w:sz w:val="20"/>
                <w:szCs w:val="20"/>
                <w:lang w:val="en-GB"/>
              </w:rPr>
              <w:t xml:space="preserve"> </w:t>
            </w:r>
            <w:r w:rsidRPr="00B32FB4">
              <w:rPr>
                <w:rFonts w:ascii="TimesNewRomanPSMT" w:hAnsi="TimesNewRomanPSMT" w:cs="TimesNewRomanPSMT"/>
                <w:sz w:val="20"/>
                <w:szCs w:val="20"/>
                <w:lang w:val="en-GB"/>
              </w:rPr>
              <w:t>importance of biomass, wind and solar, the decline in share of nuclear has acted to increase</w:t>
            </w:r>
            <w:r>
              <w:rPr>
                <w:rFonts w:ascii="TimesNewRomanPSMT" w:hAnsi="TimesNewRomanPSMT" w:cs="TimesNewRomanPSMT"/>
                <w:sz w:val="20"/>
                <w:szCs w:val="20"/>
                <w:lang w:val="en-GB"/>
              </w:rPr>
              <w:t xml:space="preserve"> </w:t>
            </w:r>
            <w:r w:rsidRPr="00B32FB4">
              <w:rPr>
                <w:rFonts w:ascii="TimesNewRomanPSMT" w:hAnsi="TimesNewRomanPSMT" w:cs="TimesNewRomanPSMT"/>
                <w:sz w:val="20"/>
                <w:szCs w:val="20"/>
                <w:lang w:val="en-GB"/>
              </w:rPr>
              <w:t>emissions</w:t>
            </w:r>
            <w:r>
              <w:rPr>
                <w:rFonts w:ascii="TimesNewRomanPSMT" w:hAnsi="TimesNewRomanPSMT" w:cs="TimesNewRomanPSMT"/>
                <w:sz w:val="20"/>
                <w:szCs w:val="20"/>
                <w:lang w:val="en-GB"/>
              </w:rPr>
              <w:t>”</w:t>
            </w:r>
          </w:p>
        </w:tc>
      </w:tr>
      <w:tr w:rsidR="005504C2" w:rsidRPr="004B3779" w14:paraId="2D5F83F8" w14:textId="77777777" w:rsidTr="005C6916">
        <w:tc>
          <w:tcPr>
            <w:tcW w:w="638" w:type="dxa"/>
          </w:tcPr>
          <w:p w14:paraId="5FF2148B" w14:textId="77777777" w:rsidR="005504C2" w:rsidRPr="00897C2E"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lastRenderedPageBreak/>
              <w:t xml:space="preserve">8 </w:t>
            </w:r>
          </w:p>
        </w:tc>
        <w:tc>
          <w:tcPr>
            <w:tcW w:w="1909" w:type="dxa"/>
          </w:tcPr>
          <w:p w14:paraId="650B0032" w14:textId="064C6560" w:rsidR="005504C2" w:rsidRPr="00D84C7F" w:rsidRDefault="005504C2" w:rsidP="005C6916">
            <w:pPr>
              <w:autoSpaceDE w:val="0"/>
              <w:autoSpaceDN w:val="0"/>
              <w:adjustRightInd w:val="0"/>
              <w:rPr>
                <w:rFonts w:ascii="TimesNewRomanPSMT" w:hAnsi="TimesNewRomanPSMT" w:cs="TimesNewRomanPSMT"/>
                <w:sz w:val="20"/>
                <w:szCs w:val="20"/>
                <w:lang w:val="en-GB"/>
              </w:rPr>
            </w:pPr>
            <w:r w:rsidRPr="00D84C7F">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AuthorYear="1"&gt;&lt;Author&gt;Sobrino&lt;/Author&gt;&lt;Year&gt;2014&lt;/Year&gt;&lt;RecNum&gt;835&lt;/RecNum&gt;&lt;DisplayText&gt;Sobrino and Monzon (2014)&lt;/DisplayText&gt;&lt;record&gt;&lt;rec-number&gt;835&lt;/rec-number&gt;&lt;foreign-keys&gt;&lt;key app="EN" db-id="zap5wezzop9xpwe0awepz55lfafptea5pr2w" timestamp="1647353682"&gt;835&lt;/key&gt;&lt;/foreign-keys&gt;&lt;ref-type name="Journal Article"&gt;17&lt;/ref-type&gt;&lt;contributors&gt;&lt;authors&gt;&lt;author&gt;Sobrino, Natalia&lt;/author&gt;&lt;author&gt;Monzon, Andres&lt;/author&gt;&lt;/authors&gt;&lt;/contributors&gt;&lt;titles&gt;&lt;title&gt;The impact of the economic crisis and policy actions on GHG emissions from road transport in Spain&lt;/title&gt;&lt;secondary-title&gt;Energy Policy&lt;/secondary-title&gt;&lt;/titles&gt;&lt;periodical&gt;&lt;full-title&gt;Energy Policy&lt;/full-title&gt;&lt;abbr-1&gt;Energy Policy&lt;/abbr-1&gt;&lt;/periodical&gt;&lt;pages&gt;486-498&lt;/pages&gt;&lt;volume&gt;74&lt;/volume&gt;&lt;dates&gt;&lt;year&gt;2014&lt;/year&gt;&lt;/dates&gt;&lt;isbn&gt;0301-4215&lt;/isbn&gt;&lt;urls&gt;&lt;/urls&gt;&lt;/record&gt;&lt;/Cite&gt;&lt;/EndNote&gt;</w:instrText>
            </w:r>
            <w:r w:rsidRPr="00D84C7F">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Sobrino and Monzon (2014)</w:t>
            </w:r>
            <w:r w:rsidRPr="00D84C7F">
              <w:rPr>
                <w:rFonts w:ascii="TimesNewRomanPSMT" w:hAnsi="TimesNewRomanPSMT" w:cs="TimesNewRomanPSMT"/>
                <w:sz w:val="20"/>
                <w:szCs w:val="20"/>
                <w:lang w:val="en-GB"/>
              </w:rPr>
              <w:fldChar w:fldCharType="end"/>
            </w:r>
          </w:p>
        </w:tc>
        <w:tc>
          <w:tcPr>
            <w:tcW w:w="1701" w:type="dxa"/>
          </w:tcPr>
          <w:p w14:paraId="721366FC"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Spain – GHG emissions from road transport</w:t>
            </w:r>
          </w:p>
        </w:tc>
        <w:tc>
          <w:tcPr>
            <w:tcW w:w="1417" w:type="dxa"/>
          </w:tcPr>
          <w:p w14:paraId="6D62D62B"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GFC, 1990-2010</w:t>
            </w:r>
          </w:p>
        </w:tc>
        <w:tc>
          <w:tcPr>
            <w:tcW w:w="2268" w:type="dxa"/>
          </w:tcPr>
          <w:p w14:paraId="03BF1CF2"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sidRPr="00D7363B">
              <w:rPr>
                <w:rFonts w:ascii="TimesNewRomanPSMT" w:hAnsi="TimesNewRomanPSMT" w:cs="TimesNewRomanPSMT"/>
                <w:sz w:val="20"/>
                <w:szCs w:val="20"/>
                <w:lang w:val="en-GB"/>
              </w:rPr>
              <w:t>Decomposition analysis</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based</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on</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Modified Laspeyres</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Index</w:t>
            </w:r>
            <w:r>
              <w:rPr>
                <w:rFonts w:ascii="TimesNewRomanPSMT" w:hAnsi="TimesNewRomanPSMT" w:cs="TimesNewRomanPSMT"/>
                <w:sz w:val="20"/>
                <w:szCs w:val="20"/>
                <w:lang w:val="en-GB"/>
              </w:rPr>
              <w:t>.</w:t>
            </w:r>
          </w:p>
        </w:tc>
        <w:tc>
          <w:tcPr>
            <w:tcW w:w="6663" w:type="dxa"/>
          </w:tcPr>
          <w:p w14:paraId="55C623FD" w14:textId="77777777" w:rsidR="005504C2" w:rsidRPr="00D7363B"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Spanish </w:t>
            </w:r>
            <w:r w:rsidRPr="00D7363B">
              <w:rPr>
                <w:rFonts w:ascii="TimesNewRomanPSMT" w:hAnsi="TimesNewRomanPSMT" w:cs="TimesNewRomanPSMT"/>
                <w:sz w:val="20"/>
                <w:szCs w:val="20"/>
                <w:lang w:val="en-GB"/>
              </w:rPr>
              <w:t>road</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traffic emissions</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decreased</w:t>
            </w:r>
            <w:r>
              <w:rPr>
                <w:rFonts w:ascii="TimesNewRomanPSMT" w:hAnsi="TimesNewRomanPSMT" w:cs="TimesNewRomanPSMT"/>
                <w:sz w:val="20"/>
                <w:szCs w:val="20"/>
                <w:lang w:val="en-GB"/>
              </w:rPr>
              <w:t xml:space="preserve"> by the first time during the GFC. </w:t>
            </w:r>
            <w:r w:rsidRPr="00D7363B">
              <w:rPr>
                <w:rFonts w:ascii="TimesNewRomanPSMT" w:hAnsi="TimesNewRomanPSMT" w:cs="TimesNewRomanPSMT"/>
                <w:sz w:val="20"/>
                <w:szCs w:val="20"/>
                <w:lang w:val="en-GB"/>
              </w:rPr>
              <w:t>The</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reduction</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of</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road</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transport</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and</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improved</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energy</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efficiency has</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been</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powerful</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contributors</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to</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this</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decrease,</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demonstrating</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the</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effectiveness</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of</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energy-saving</w:t>
            </w:r>
            <w:r>
              <w:rPr>
                <w:rFonts w:ascii="TimesNewRomanPSMT" w:hAnsi="TimesNewRomanPSMT" w:cs="TimesNewRomanPSMT"/>
                <w:sz w:val="20"/>
                <w:szCs w:val="20"/>
                <w:lang w:val="en-GB"/>
              </w:rPr>
              <w:t xml:space="preserve"> </w:t>
            </w:r>
            <w:r w:rsidRPr="00D7363B">
              <w:rPr>
                <w:rFonts w:ascii="TimesNewRomanPSMT" w:hAnsi="TimesNewRomanPSMT" w:cs="TimesNewRomanPSMT"/>
                <w:sz w:val="20"/>
                <w:szCs w:val="20"/>
                <w:lang w:val="en-GB"/>
              </w:rPr>
              <w:t>measures.</w:t>
            </w:r>
          </w:p>
        </w:tc>
      </w:tr>
      <w:tr w:rsidR="005504C2" w:rsidRPr="004B3779" w14:paraId="3A3174A5" w14:textId="77777777" w:rsidTr="005C6916">
        <w:tc>
          <w:tcPr>
            <w:tcW w:w="638" w:type="dxa"/>
          </w:tcPr>
          <w:p w14:paraId="44567984"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9. </w:t>
            </w:r>
          </w:p>
        </w:tc>
        <w:tc>
          <w:tcPr>
            <w:tcW w:w="1909" w:type="dxa"/>
          </w:tcPr>
          <w:p w14:paraId="44808E2D" w14:textId="02603F45" w:rsidR="005504C2" w:rsidRPr="00D84C7F"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AuthorYear="1"&gt;&lt;Author&gt;Mendiluce&lt;/Author&gt;&lt;Year&gt;2011&lt;/Year&gt;&lt;RecNum&gt;868&lt;/RecNum&gt;&lt;DisplayText&gt;Mendiluce and Schipper (2011)&lt;/DisplayText&gt;&lt;record&gt;&lt;rec-number&gt;868&lt;/rec-number&gt;&lt;foreign-keys&gt;&lt;key app="EN" db-id="zap5wezzop9xpwe0awepz55lfafptea5pr2w" timestamp="1655297225"&gt;868&lt;/key&gt;&lt;/foreign-keys&gt;&lt;ref-type name="Journal Article"&gt;17&lt;/ref-type&gt;&lt;contributors&gt;&lt;authors&gt;&lt;author&gt;Mendiluce, María&lt;/author&gt;&lt;author&gt;Schipper, Lee&lt;/author&gt;&lt;/authors&gt;&lt;/contributors&gt;&lt;titles&gt;&lt;title&gt;Trends in passenger transport and freight energy use in Spain&lt;/title&gt;&lt;secondary-title&gt;Energy Policy&lt;/secondary-title&gt;&lt;/titles&gt;&lt;periodical&gt;&lt;full-title&gt;Energy Policy&lt;/full-title&gt;&lt;abbr-1&gt;Energy Policy&lt;/abbr-1&gt;&lt;/periodical&gt;&lt;pages&gt;6466-6475&lt;/pages&gt;&lt;volume&gt;39&lt;/volume&gt;&lt;number&gt;10&lt;/number&gt;&lt;dates&gt;&lt;year&gt;2011&lt;/year&gt;&lt;/dates&gt;&lt;isbn&gt;0301-4215&lt;/isbn&gt;&lt;urls&gt;&lt;/urls&gt;&lt;/record&gt;&lt;/Cite&gt;&lt;/EndNote&gt;</w:instrText>
            </w:r>
            <w:r>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Mendiluce and Schipper (2011)</w:t>
            </w:r>
            <w:r>
              <w:rPr>
                <w:rFonts w:ascii="TimesNewRomanPSMT" w:hAnsi="TimesNewRomanPSMT" w:cs="TimesNewRomanPSMT"/>
                <w:sz w:val="20"/>
                <w:szCs w:val="20"/>
                <w:lang w:val="en-GB"/>
              </w:rPr>
              <w:fldChar w:fldCharType="end"/>
            </w:r>
          </w:p>
        </w:tc>
        <w:tc>
          <w:tcPr>
            <w:tcW w:w="1701" w:type="dxa"/>
          </w:tcPr>
          <w:p w14:paraId="12DB2A4B"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Spain – GHG emissions from passenger and freight transport</w:t>
            </w:r>
          </w:p>
        </w:tc>
        <w:tc>
          <w:tcPr>
            <w:tcW w:w="1417" w:type="dxa"/>
          </w:tcPr>
          <w:p w14:paraId="7CF23FD5"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GFC, 1990-2008</w:t>
            </w:r>
          </w:p>
        </w:tc>
        <w:tc>
          <w:tcPr>
            <w:tcW w:w="2268" w:type="dxa"/>
          </w:tcPr>
          <w:p w14:paraId="7487BE3E"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LMDI decomposition based on “ASIF” equation. </w:t>
            </w:r>
          </w:p>
        </w:tc>
        <w:tc>
          <w:tcPr>
            <w:tcW w:w="6663" w:type="dxa"/>
          </w:tcPr>
          <w:p w14:paraId="169A5812" w14:textId="77777777" w:rsidR="005504C2" w:rsidRPr="00263A44" w:rsidRDefault="005504C2" w:rsidP="005C6916">
            <w:pPr>
              <w:autoSpaceDE w:val="0"/>
              <w:autoSpaceDN w:val="0"/>
              <w:adjustRightInd w:val="0"/>
              <w:rPr>
                <w:rFonts w:ascii="TimesNewRomanPSMT" w:hAnsi="TimesNewRomanPSMT" w:cs="TimesNewRomanPSMT"/>
                <w:sz w:val="20"/>
                <w:szCs w:val="20"/>
                <w:lang w:val="en-GB"/>
              </w:rPr>
            </w:pPr>
            <w:r w:rsidRPr="00263A44">
              <w:rPr>
                <w:rFonts w:ascii="TimesNewRomanPSMT" w:hAnsi="TimesNewRomanPSMT" w:cs="TimesNewRomanPSMT"/>
                <w:sz w:val="20"/>
                <w:szCs w:val="20"/>
                <w:lang w:val="en-GB"/>
              </w:rPr>
              <w:t>Emissions</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increased,</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mainly fuelled</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by</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the</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rise</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in</w:t>
            </w:r>
            <w:r>
              <w:rPr>
                <w:rFonts w:ascii="TimesNewRomanPSMT" w:hAnsi="TimesNewRomanPSMT" w:cs="TimesNewRomanPSMT"/>
                <w:sz w:val="20"/>
                <w:szCs w:val="20"/>
                <w:lang w:val="en-GB"/>
              </w:rPr>
              <w:t xml:space="preserve"> transport </w:t>
            </w:r>
            <w:r w:rsidRPr="00263A44">
              <w:rPr>
                <w:rFonts w:ascii="TimesNewRomanPSMT" w:hAnsi="TimesNewRomanPSMT" w:cs="TimesNewRomanPSMT"/>
                <w:sz w:val="20"/>
                <w:szCs w:val="20"/>
                <w:lang w:val="en-GB"/>
              </w:rPr>
              <w:t>activity;</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modal</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shares</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have</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pulled</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away</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from</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public</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transport,</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with</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a</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decrease in</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bus</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and</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rail,</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towards</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an</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increase</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in</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car</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and</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air</w:t>
            </w:r>
            <w:r>
              <w:rPr>
                <w:rFonts w:ascii="TimesNewRomanPSMT" w:hAnsi="TimesNewRomanPSMT" w:cs="TimesNewRomanPSMT"/>
                <w:sz w:val="20"/>
                <w:szCs w:val="20"/>
                <w:lang w:val="en-GB"/>
              </w:rPr>
              <w:t xml:space="preserve"> </w:t>
            </w:r>
            <w:r w:rsidRPr="00263A44">
              <w:rPr>
                <w:rFonts w:ascii="TimesNewRomanPSMT" w:hAnsi="TimesNewRomanPSMT" w:cs="TimesNewRomanPSMT"/>
                <w:sz w:val="20"/>
                <w:szCs w:val="20"/>
                <w:lang w:val="en-GB"/>
              </w:rPr>
              <w:t>travel</w:t>
            </w:r>
            <w:r>
              <w:rPr>
                <w:rFonts w:ascii="TimesNewRomanPSMT" w:hAnsi="TimesNewRomanPSMT" w:cs="TimesNewRomanPSMT"/>
                <w:sz w:val="20"/>
                <w:szCs w:val="20"/>
                <w:lang w:val="en-GB"/>
              </w:rPr>
              <w:t>.</w:t>
            </w:r>
          </w:p>
        </w:tc>
      </w:tr>
      <w:tr w:rsidR="005504C2" w:rsidRPr="00933763" w14:paraId="490D3CFF" w14:textId="77777777" w:rsidTr="005C6916">
        <w:tc>
          <w:tcPr>
            <w:tcW w:w="14596" w:type="dxa"/>
            <w:gridSpan w:val="6"/>
            <w:shd w:val="clear" w:color="auto" w:fill="A8D08D" w:themeFill="accent6" w:themeFillTint="99"/>
          </w:tcPr>
          <w:p w14:paraId="1654AA12" w14:textId="77777777" w:rsidR="005504C2" w:rsidRPr="00933763" w:rsidRDefault="005504C2" w:rsidP="005C6916">
            <w:pPr>
              <w:autoSpaceDE w:val="0"/>
              <w:autoSpaceDN w:val="0"/>
              <w:adjustRightInd w:val="0"/>
              <w:jc w:val="center"/>
              <w:rPr>
                <w:rFonts w:ascii="TimesNewRomanPSMT" w:hAnsi="TimesNewRomanPSMT" w:cs="TimesNewRomanPSMT"/>
                <w:sz w:val="20"/>
                <w:szCs w:val="20"/>
                <w:lang w:val="en-GB"/>
              </w:rPr>
            </w:pPr>
            <w:r>
              <w:rPr>
                <w:rFonts w:ascii="TimesNewRomanPSMT" w:hAnsi="TimesNewRomanPSMT" w:cs="TimesNewRomanPSMT"/>
                <w:sz w:val="20"/>
                <w:szCs w:val="20"/>
                <w:lang w:val="en-GB"/>
              </w:rPr>
              <w:t>Effects on climate policy</w:t>
            </w:r>
          </w:p>
        </w:tc>
      </w:tr>
      <w:tr w:rsidR="005504C2" w:rsidRPr="004B3779" w14:paraId="2682D434" w14:textId="77777777" w:rsidTr="005C6916">
        <w:tc>
          <w:tcPr>
            <w:tcW w:w="638" w:type="dxa"/>
          </w:tcPr>
          <w:p w14:paraId="1BE9CEEB"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10</w:t>
            </w:r>
          </w:p>
        </w:tc>
        <w:tc>
          <w:tcPr>
            <w:tcW w:w="1909" w:type="dxa"/>
          </w:tcPr>
          <w:p w14:paraId="73B3BD66" w14:textId="3B7A6D39" w:rsidR="005504C2"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AuthorYear="1"&gt;&lt;Author&gt;Geels&lt;/Author&gt;&lt;Year&gt;2022&lt;/Year&gt;&lt;RecNum&gt;821&lt;/RecNum&gt;&lt;DisplayText&gt;Geels et al. (2022)&lt;/DisplayText&gt;&lt;record&gt;&lt;rec-number&gt;821&lt;/rec-number&gt;&lt;foreign-keys&gt;&lt;key app="EN" db-id="zap5wezzop9xpwe0awepz55lfafptea5pr2w" timestamp="1647182925"&gt;821&lt;/key&gt;&lt;/foreign-keys&gt;&lt;ref-type name="Journal Article"&gt;17&lt;/ref-type&gt;&lt;contributors&gt;&lt;authors&gt;&lt;author&gt;Geels, Frank W&lt;/author&gt;&lt;author&gt;Pereira, Guillermo Ivan&lt;/author&gt;&lt;author&gt;Pinkse, Jonatan&lt;/author&gt;&lt;/authors&gt;&lt;/contributors&gt;&lt;titles&gt;&lt;title&gt;Moving beyond opportunity narratives in COVID-19 green recoveries: A comparative analysis of public investment plans in France, Germany, and the United Kingdom&lt;/title&gt;&lt;secondary-title&gt;Energy Research &amp;amp; Social Science&lt;/secondary-title&gt;&lt;/titles&gt;&lt;periodical&gt;&lt;full-title&gt;Energy Research &amp;amp; Social Science&lt;/full-title&gt;&lt;abbr-1&gt;Energy Research &amp;amp; Social Science&lt;/abbr-1&gt;&lt;/periodical&gt;&lt;pages&gt;102368&lt;/pages&gt;&lt;volume&gt;84&lt;/volume&gt;&lt;dates&gt;&lt;year&gt;2022&lt;/year&gt;&lt;/dates&gt;&lt;isbn&gt;2214-6296&lt;/isbn&gt;&lt;urls&gt;&lt;/urls&gt;&lt;/record&gt;&lt;/Cite&gt;&lt;/EndNote&gt;</w:instrText>
            </w:r>
            <w:r>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Geels et al. (2022)</w:t>
            </w:r>
            <w:r>
              <w:rPr>
                <w:rFonts w:ascii="TimesNewRomanPSMT" w:hAnsi="TimesNewRomanPSMT" w:cs="TimesNewRomanPSMT"/>
                <w:sz w:val="20"/>
                <w:szCs w:val="20"/>
                <w:lang w:val="en-GB"/>
              </w:rPr>
              <w:fldChar w:fldCharType="end"/>
            </w:r>
          </w:p>
        </w:tc>
        <w:tc>
          <w:tcPr>
            <w:tcW w:w="1701" w:type="dxa"/>
          </w:tcPr>
          <w:p w14:paraId="5175DC74" w14:textId="77777777" w:rsidR="005504C2" w:rsidRPr="00322258"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France, Germany, UK - Recovery packages</w:t>
            </w:r>
          </w:p>
        </w:tc>
        <w:tc>
          <w:tcPr>
            <w:tcW w:w="1417" w:type="dxa"/>
          </w:tcPr>
          <w:p w14:paraId="31972549" w14:textId="77777777" w:rsidR="005504C2"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Covid-19, 2021-2021</w:t>
            </w:r>
          </w:p>
        </w:tc>
        <w:tc>
          <w:tcPr>
            <w:tcW w:w="2268" w:type="dxa"/>
          </w:tcPr>
          <w:p w14:paraId="0E7E1E84" w14:textId="77777777" w:rsidR="005504C2"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Critical juncture framework</w:t>
            </w:r>
          </w:p>
        </w:tc>
        <w:tc>
          <w:tcPr>
            <w:tcW w:w="6663" w:type="dxa"/>
          </w:tcPr>
          <w:p w14:paraId="17655BE3" w14:textId="77777777" w:rsidR="005504C2" w:rsidRPr="00023C32" w:rsidRDefault="005504C2" w:rsidP="005C6916">
            <w:pPr>
              <w:autoSpaceDE w:val="0"/>
              <w:autoSpaceDN w:val="0"/>
              <w:adjustRightInd w:val="0"/>
              <w:rPr>
                <w:rFonts w:ascii="TimesNewRomanPSMT" w:hAnsi="TimesNewRomanPSMT" w:cs="TimesNewRomanPSMT"/>
                <w:sz w:val="20"/>
                <w:szCs w:val="20"/>
                <w:lang w:val="en-GB"/>
              </w:rPr>
            </w:pPr>
            <w:r w:rsidRPr="00206794">
              <w:rPr>
                <w:rFonts w:ascii="TimesNewRomanPSMT" w:hAnsi="TimesNewRomanPSMT" w:cs="TimesNewRomanPSMT"/>
                <w:sz w:val="20"/>
                <w:szCs w:val="20"/>
                <w:lang w:val="en-GB"/>
              </w:rPr>
              <w:t>The green recovery plans differ markedly among the three countries and are powerfully shaped by pre-existing contexts, plans and developments, which constrain the use of the crisis-induced opportunities</w:t>
            </w:r>
          </w:p>
        </w:tc>
      </w:tr>
      <w:tr w:rsidR="005504C2" w:rsidRPr="004B3779" w14:paraId="3D7AB6D6" w14:textId="77777777" w:rsidTr="005C6916">
        <w:tc>
          <w:tcPr>
            <w:tcW w:w="638" w:type="dxa"/>
          </w:tcPr>
          <w:p w14:paraId="0413A656"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11</w:t>
            </w:r>
          </w:p>
        </w:tc>
        <w:tc>
          <w:tcPr>
            <w:tcW w:w="1909" w:type="dxa"/>
          </w:tcPr>
          <w:p w14:paraId="00E0E3BF" w14:textId="61231EEF"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AuthorYear="1"&gt;&lt;Author&gt;Dupont&lt;/Author&gt;&lt;Year&gt;2020&lt;/Year&gt;&lt;RecNum&gt;207&lt;/RecNum&gt;&lt;DisplayText&gt;Dupont et al. (2020)&lt;/DisplayText&gt;&lt;record&gt;&lt;rec-number&gt;207&lt;/rec-number&gt;&lt;foreign-keys&gt;&lt;key app="EN" db-id="zap5wezzop9xpwe0awepz55lfafptea5pr2w" timestamp="1613591389"&gt;207&lt;/key&gt;&lt;/foreign-keys&gt;&lt;ref-type name="Journal Article"&gt;17&lt;/ref-type&gt;&lt;contributors&gt;&lt;authors&gt;&lt;author&gt;Dupont, Claire&lt;/author&gt;&lt;author&gt;Oberthür, Sebastian&lt;/author&gt;&lt;author&gt;von Homeyer, Ingmar&lt;/author&gt;&lt;/authors&gt;&lt;/contributors&gt;&lt;titles&gt;&lt;title&gt;The Covid-19 crisis: a critical juncture for EU climate policy development?&lt;/title&gt;&lt;secondary-title&gt;Journal of European Integration&lt;/secondary-title&gt;&lt;/titles&gt;&lt;periodical&gt;&lt;full-title&gt;Journal of European Integration&lt;/full-title&gt;&lt;/periodical&gt;&lt;pages&gt;1095-1110&lt;/pages&gt;&lt;volume&gt;42&lt;/volume&gt;&lt;number&gt;8&lt;/number&gt;&lt;dates&gt;&lt;year&gt;2020&lt;/year&gt;&lt;/dates&gt;&lt;isbn&gt;0703-6337&lt;/isbn&gt;&lt;urls&gt;&lt;/urls&gt;&lt;/record&gt;&lt;/Cite&gt;&lt;/EndNote&gt;</w:instrText>
            </w:r>
            <w:r>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Dupont et al. (2020)</w:t>
            </w:r>
            <w:r>
              <w:rPr>
                <w:rFonts w:ascii="TimesNewRomanPSMT" w:hAnsi="TimesNewRomanPSMT" w:cs="TimesNewRomanPSMT"/>
                <w:sz w:val="20"/>
                <w:szCs w:val="20"/>
                <w:lang w:val="en-GB"/>
              </w:rPr>
              <w:fldChar w:fldCharType="end"/>
            </w:r>
          </w:p>
        </w:tc>
        <w:tc>
          <w:tcPr>
            <w:tcW w:w="1701" w:type="dxa"/>
          </w:tcPr>
          <w:p w14:paraId="4E8DDA32"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sidRPr="00322258">
              <w:rPr>
                <w:rFonts w:ascii="TimesNewRomanPSMT" w:hAnsi="TimesNewRomanPSMT" w:cs="TimesNewRomanPSMT"/>
                <w:sz w:val="20"/>
                <w:szCs w:val="20"/>
                <w:lang w:val="en-GB"/>
              </w:rPr>
              <w:t>EU climate policy</w:t>
            </w:r>
          </w:p>
        </w:tc>
        <w:tc>
          <w:tcPr>
            <w:tcW w:w="1417" w:type="dxa"/>
          </w:tcPr>
          <w:p w14:paraId="32F898C4"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Covid-19, 2020</w:t>
            </w:r>
          </w:p>
        </w:tc>
        <w:tc>
          <w:tcPr>
            <w:tcW w:w="2268" w:type="dxa"/>
          </w:tcPr>
          <w:p w14:paraId="06096C07"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Critical juncture framework </w:t>
            </w:r>
          </w:p>
        </w:tc>
        <w:tc>
          <w:tcPr>
            <w:tcW w:w="6663" w:type="dxa"/>
          </w:tcPr>
          <w:p w14:paraId="3281ED55"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sidRPr="00023C32">
              <w:rPr>
                <w:rFonts w:ascii="TimesNewRomanPSMT" w:hAnsi="TimesNewRomanPSMT" w:cs="TimesNewRomanPSMT"/>
                <w:sz w:val="20"/>
                <w:szCs w:val="20"/>
                <w:lang w:val="en-GB"/>
              </w:rPr>
              <w:t>In 2020, the EU’s crisis response seems rather to advance EU</w:t>
            </w:r>
            <w:r>
              <w:rPr>
                <w:rFonts w:ascii="TimesNewRomanPSMT" w:hAnsi="TimesNewRomanPSMT" w:cs="TimesNewRomanPSMT"/>
                <w:sz w:val="20"/>
                <w:szCs w:val="20"/>
                <w:lang w:val="en-GB"/>
              </w:rPr>
              <w:t xml:space="preserve"> </w:t>
            </w:r>
            <w:r w:rsidRPr="00023C32">
              <w:rPr>
                <w:rFonts w:ascii="TimesNewRomanPSMT" w:hAnsi="TimesNewRomanPSMT" w:cs="TimesNewRomanPSMT"/>
                <w:sz w:val="20"/>
                <w:szCs w:val="20"/>
                <w:lang w:val="en-GB"/>
              </w:rPr>
              <w:t>climate policy</w:t>
            </w:r>
            <w:r>
              <w:rPr>
                <w:rFonts w:ascii="TimesNewRomanPSMT" w:hAnsi="TimesNewRomanPSMT" w:cs="TimesNewRomanPSMT"/>
                <w:sz w:val="20"/>
                <w:szCs w:val="20"/>
                <w:lang w:val="en-GB"/>
              </w:rPr>
              <w:t xml:space="preserve"> by </w:t>
            </w:r>
            <w:r w:rsidRPr="00322258">
              <w:rPr>
                <w:rFonts w:ascii="TimesNewRomanPSMT" w:hAnsi="TimesNewRomanPSMT" w:cs="TimesNewRomanPSMT"/>
                <w:sz w:val="20"/>
                <w:szCs w:val="20"/>
                <w:lang w:val="en-GB"/>
              </w:rPr>
              <w:t>strengthen</w:t>
            </w:r>
            <w:r>
              <w:rPr>
                <w:rFonts w:ascii="TimesNewRomanPSMT" w:hAnsi="TimesNewRomanPSMT" w:cs="TimesNewRomanPSMT"/>
                <w:sz w:val="20"/>
                <w:szCs w:val="20"/>
                <w:lang w:val="en-GB"/>
              </w:rPr>
              <w:t>ing</w:t>
            </w:r>
            <w:r w:rsidRPr="00322258">
              <w:rPr>
                <w:rFonts w:ascii="TimesNewRomanPSMT" w:hAnsi="TimesNewRomanPSMT" w:cs="TimesNewRomanPSMT"/>
                <w:sz w:val="20"/>
                <w:szCs w:val="20"/>
                <w:lang w:val="en-GB"/>
              </w:rPr>
              <w:t xml:space="preserve"> and reinforci</w:t>
            </w:r>
            <w:r>
              <w:rPr>
                <w:rFonts w:ascii="TimesNewRomanPSMT" w:hAnsi="TimesNewRomanPSMT" w:cs="TimesNewRomanPSMT"/>
                <w:sz w:val="20"/>
                <w:szCs w:val="20"/>
                <w:lang w:val="en-GB"/>
              </w:rPr>
              <w:t>ng</w:t>
            </w:r>
            <w:r w:rsidRPr="00322258">
              <w:rPr>
                <w:rFonts w:ascii="TimesNewRomanPSMT" w:hAnsi="TimesNewRomanPSMT" w:cs="TimesNewRomanPSMT"/>
                <w:sz w:val="20"/>
                <w:szCs w:val="20"/>
                <w:lang w:val="en-GB"/>
              </w:rPr>
              <w:t xml:space="preserve"> the E</w:t>
            </w:r>
            <w:r>
              <w:rPr>
                <w:rFonts w:ascii="TimesNewRomanPSMT" w:hAnsi="TimesNewRomanPSMT" w:cs="TimesNewRomanPSMT"/>
                <w:sz w:val="20"/>
                <w:szCs w:val="20"/>
                <w:lang w:val="en-GB"/>
              </w:rPr>
              <w:t xml:space="preserve">uropean </w:t>
            </w:r>
            <w:r w:rsidRPr="00322258">
              <w:rPr>
                <w:rFonts w:ascii="TimesNewRomanPSMT" w:hAnsi="TimesNewRomanPSMT" w:cs="TimesNewRomanPSMT"/>
                <w:sz w:val="20"/>
                <w:szCs w:val="20"/>
                <w:lang w:val="en-GB"/>
              </w:rPr>
              <w:t>G</w:t>
            </w:r>
            <w:r>
              <w:rPr>
                <w:rFonts w:ascii="TimesNewRomanPSMT" w:hAnsi="TimesNewRomanPSMT" w:cs="TimesNewRomanPSMT"/>
                <w:sz w:val="20"/>
                <w:szCs w:val="20"/>
                <w:lang w:val="en-GB"/>
              </w:rPr>
              <w:t xml:space="preserve">reen </w:t>
            </w:r>
            <w:r w:rsidRPr="00322258">
              <w:rPr>
                <w:rFonts w:ascii="TimesNewRomanPSMT" w:hAnsi="TimesNewRomanPSMT" w:cs="TimesNewRomanPSMT"/>
                <w:sz w:val="20"/>
                <w:szCs w:val="20"/>
                <w:lang w:val="en-GB"/>
              </w:rPr>
              <w:t>D</w:t>
            </w:r>
            <w:r>
              <w:rPr>
                <w:rFonts w:ascii="TimesNewRomanPSMT" w:hAnsi="TimesNewRomanPSMT" w:cs="TimesNewRomanPSMT"/>
                <w:sz w:val="20"/>
                <w:szCs w:val="20"/>
                <w:lang w:val="en-GB"/>
              </w:rPr>
              <w:t>eal</w:t>
            </w:r>
            <w:r w:rsidRPr="00322258">
              <w:rPr>
                <w:rFonts w:ascii="TimesNewRomanPSMT" w:hAnsi="TimesNewRomanPSMT" w:cs="TimesNewRomanPSMT"/>
                <w:sz w:val="20"/>
                <w:szCs w:val="20"/>
                <w:lang w:val="en-GB"/>
              </w:rPr>
              <w:t>, which itself may be a potentially transformational critical juncture</w:t>
            </w:r>
            <w:r>
              <w:rPr>
                <w:rFonts w:ascii="TimesNewRomanPSMT" w:hAnsi="TimesNewRomanPSMT" w:cs="TimesNewRomanPSMT"/>
                <w:sz w:val="20"/>
                <w:szCs w:val="20"/>
                <w:lang w:val="en-GB"/>
              </w:rPr>
              <w:t>.</w:t>
            </w:r>
          </w:p>
        </w:tc>
      </w:tr>
      <w:tr w:rsidR="005504C2" w:rsidRPr="004B3779" w14:paraId="700B8B31" w14:textId="77777777" w:rsidTr="005C6916">
        <w:tc>
          <w:tcPr>
            <w:tcW w:w="638" w:type="dxa"/>
          </w:tcPr>
          <w:p w14:paraId="27C50B3B"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12</w:t>
            </w:r>
          </w:p>
        </w:tc>
        <w:tc>
          <w:tcPr>
            <w:tcW w:w="1909" w:type="dxa"/>
          </w:tcPr>
          <w:p w14:paraId="4D4CA7F5" w14:textId="0A5F5F18"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AuthorYear="1"&gt;&lt;Author&gt;Slominski&lt;/Author&gt;&lt;Year&gt;2016&lt;/Year&gt;&lt;RecNum&gt;814&lt;/RecNum&gt;&lt;DisplayText&gt;Slominski (2016)&lt;/DisplayText&gt;&lt;record&gt;&lt;rec-number&gt;814&lt;/rec-number&gt;&lt;foreign-keys&gt;&lt;key app="EN" db-id="zap5wezzop9xpwe0awepz55lfafptea5pr2w" timestamp="1646834845"&gt;814&lt;/key&gt;&lt;/foreign-keys&gt;&lt;ref-type name="Journal Article"&gt;17&lt;/ref-type&gt;&lt;contributors&gt;&lt;authors&gt;&lt;author&gt;Slominski, Peter&lt;/author&gt;&lt;/authors&gt;&lt;/contributors&gt;&lt;titles&gt;&lt;title&gt;Energy and climate policy: does the competitiveness narrative prevail in times of crisis?&lt;/title&gt;&lt;secondary-title&gt;Journal of European Integration&lt;/secondary-title&gt;&lt;/titles&gt;&lt;periodical&gt;&lt;full-title&gt;Journal of European Integration&lt;/full-title&gt;&lt;/periodical&gt;&lt;pages&gt;343-357&lt;/pages&gt;&lt;volume&gt;38&lt;/volume&gt;&lt;number&gt;3&lt;/number&gt;&lt;dates&gt;&lt;year&gt;2016&lt;/year&gt;&lt;/dates&gt;&lt;isbn&gt;0703-6337&lt;/isbn&gt;&lt;urls&gt;&lt;/urls&gt;&lt;/record&gt;&lt;/Cite&gt;&lt;/EndNote&gt;</w:instrText>
            </w:r>
            <w:r>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Slominski (2016)</w:t>
            </w:r>
            <w:r>
              <w:rPr>
                <w:rFonts w:ascii="TimesNewRomanPSMT" w:hAnsi="TimesNewRomanPSMT" w:cs="TimesNewRomanPSMT"/>
                <w:sz w:val="20"/>
                <w:szCs w:val="20"/>
                <w:lang w:val="en-GB"/>
              </w:rPr>
              <w:fldChar w:fldCharType="end"/>
            </w:r>
          </w:p>
        </w:tc>
        <w:tc>
          <w:tcPr>
            <w:tcW w:w="1701" w:type="dxa"/>
          </w:tcPr>
          <w:p w14:paraId="10D42D76"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sidRPr="00606162">
              <w:rPr>
                <w:rFonts w:ascii="TimesNewRomanPSMT" w:hAnsi="TimesNewRomanPSMT" w:cs="TimesNewRomanPSMT"/>
                <w:sz w:val="20"/>
                <w:szCs w:val="20"/>
                <w:lang w:val="en-GB"/>
              </w:rPr>
              <w:t>EU’s climate and energy policies.</w:t>
            </w:r>
          </w:p>
        </w:tc>
        <w:tc>
          <w:tcPr>
            <w:tcW w:w="1417" w:type="dxa"/>
          </w:tcPr>
          <w:p w14:paraId="36E0B7F9"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GFC (exact period unspecified) </w:t>
            </w:r>
          </w:p>
        </w:tc>
        <w:tc>
          <w:tcPr>
            <w:tcW w:w="2268" w:type="dxa"/>
          </w:tcPr>
          <w:p w14:paraId="65FE9675"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Qualitative policy analysis. </w:t>
            </w:r>
          </w:p>
        </w:tc>
        <w:tc>
          <w:tcPr>
            <w:tcW w:w="6663" w:type="dxa"/>
          </w:tcPr>
          <w:p w14:paraId="72DEFFE3"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GFC</w:t>
            </w:r>
            <w:r w:rsidRPr="00606162">
              <w:rPr>
                <w:rFonts w:ascii="TimesNewRomanPSMT" w:hAnsi="TimesNewRomanPSMT" w:cs="TimesNewRomanPSMT"/>
                <w:sz w:val="20"/>
                <w:szCs w:val="20"/>
                <w:lang w:val="en-GB"/>
              </w:rPr>
              <w:t xml:space="preserve"> crisis </w:t>
            </w:r>
            <w:r>
              <w:rPr>
                <w:rFonts w:ascii="TimesNewRomanPSMT" w:hAnsi="TimesNewRomanPSMT" w:cs="TimesNewRomanPSMT"/>
                <w:sz w:val="20"/>
                <w:szCs w:val="20"/>
                <w:lang w:val="en-GB"/>
              </w:rPr>
              <w:t>did</w:t>
            </w:r>
            <w:r w:rsidRPr="00606162">
              <w:rPr>
                <w:rFonts w:ascii="TimesNewRomanPSMT" w:hAnsi="TimesNewRomanPSMT" w:cs="TimesNewRomanPSMT"/>
                <w:sz w:val="20"/>
                <w:szCs w:val="20"/>
                <w:lang w:val="en-GB"/>
              </w:rPr>
              <w:t xml:space="preserve"> not fundamentally changed</w:t>
            </w:r>
            <w:r>
              <w:rPr>
                <w:rFonts w:ascii="TimesNewRomanPSMT" w:hAnsi="TimesNewRomanPSMT" w:cs="TimesNewRomanPSMT"/>
                <w:sz w:val="20"/>
                <w:szCs w:val="20"/>
                <w:lang w:val="en-GB"/>
              </w:rPr>
              <w:t xml:space="preserve"> </w:t>
            </w:r>
            <w:r w:rsidRPr="00606162">
              <w:rPr>
                <w:rFonts w:ascii="TimesNewRomanPSMT" w:hAnsi="TimesNewRomanPSMT" w:cs="TimesNewRomanPSMT"/>
                <w:sz w:val="20"/>
                <w:szCs w:val="20"/>
                <w:lang w:val="en-GB"/>
              </w:rPr>
              <w:t xml:space="preserve">the broad trajectory of EU energy and climate policy. </w:t>
            </w:r>
            <w:r>
              <w:rPr>
                <w:rFonts w:ascii="TimesNewRomanPSMT" w:hAnsi="TimesNewRomanPSMT" w:cs="TimesNewRomanPSMT"/>
                <w:sz w:val="20"/>
                <w:szCs w:val="20"/>
                <w:lang w:val="en-GB"/>
              </w:rPr>
              <w:t xml:space="preserve">However, it </w:t>
            </w:r>
            <w:r w:rsidRPr="00606162">
              <w:rPr>
                <w:rFonts w:ascii="TimesNewRomanPSMT" w:hAnsi="TimesNewRomanPSMT" w:cs="TimesNewRomanPSMT"/>
                <w:sz w:val="20"/>
                <w:szCs w:val="20"/>
                <w:lang w:val="en-GB"/>
              </w:rPr>
              <w:t>strengthened the concerns of cost implications of climate</w:t>
            </w:r>
            <w:r>
              <w:rPr>
                <w:rFonts w:ascii="TimesNewRomanPSMT" w:hAnsi="TimesNewRomanPSMT" w:cs="TimesNewRomanPSMT"/>
                <w:sz w:val="20"/>
                <w:szCs w:val="20"/>
                <w:lang w:val="en-GB"/>
              </w:rPr>
              <w:t xml:space="preserve"> </w:t>
            </w:r>
            <w:r w:rsidRPr="00606162">
              <w:rPr>
                <w:rFonts w:ascii="TimesNewRomanPSMT" w:hAnsi="TimesNewRomanPSMT" w:cs="TimesNewRomanPSMT"/>
                <w:sz w:val="20"/>
                <w:szCs w:val="20"/>
                <w:lang w:val="en-GB"/>
              </w:rPr>
              <w:t>measures and</w:t>
            </w:r>
            <w:r>
              <w:rPr>
                <w:rFonts w:ascii="TimesNewRomanPSMT" w:hAnsi="TimesNewRomanPSMT" w:cs="TimesNewRomanPSMT"/>
                <w:sz w:val="20"/>
                <w:szCs w:val="20"/>
                <w:lang w:val="en-GB"/>
              </w:rPr>
              <w:t xml:space="preserve"> </w:t>
            </w:r>
            <w:r w:rsidRPr="00606162">
              <w:rPr>
                <w:rFonts w:ascii="TimesNewRomanPSMT" w:hAnsi="TimesNewRomanPSMT" w:cs="TimesNewRomanPSMT"/>
                <w:sz w:val="20"/>
                <w:szCs w:val="20"/>
                <w:lang w:val="en-GB"/>
              </w:rPr>
              <w:t>changed the hierarchy of priorities of EU policymakers to paying more attention to economic problems rather than climate change, renewables or energy efficiency.</w:t>
            </w:r>
            <w:r w:rsidRPr="00606162">
              <w:rPr>
                <w:rFonts w:ascii="MyriadPro-Regular" w:hAnsi="MyriadPro-Regular" w:cs="MyriadPro-Regular"/>
                <w:sz w:val="18"/>
                <w:szCs w:val="18"/>
                <w:lang w:val="en-GB"/>
              </w:rPr>
              <w:t xml:space="preserve"> </w:t>
            </w:r>
          </w:p>
        </w:tc>
      </w:tr>
      <w:tr w:rsidR="005504C2" w:rsidRPr="004B3779" w14:paraId="345907B7" w14:textId="77777777" w:rsidTr="005C6916">
        <w:tc>
          <w:tcPr>
            <w:tcW w:w="638" w:type="dxa"/>
          </w:tcPr>
          <w:p w14:paraId="05E7CE04"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13</w:t>
            </w:r>
          </w:p>
        </w:tc>
        <w:tc>
          <w:tcPr>
            <w:tcW w:w="1909" w:type="dxa"/>
          </w:tcPr>
          <w:p w14:paraId="28D722A2" w14:textId="0DCB91C0"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AuthorYear="1"&gt;&lt;Author&gt;Skovgaard&lt;/Author&gt;&lt;Year&gt;2014&lt;/Year&gt;&lt;RecNum&gt;811&lt;/RecNum&gt;&lt;DisplayText&gt;Skovgaard (2014)&lt;/DisplayText&gt;&lt;record&gt;&lt;rec-number&gt;811&lt;/rec-number&gt;&lt;foreign-keys&gt;&lt;key app="EN" db-id="zap5wezzop9xpwe0awepz55lfafptea5pr2w" timestamp="1646834368"&gt;811&lt;/key&gt;&lt;/foreign-keys&gt;&lt;ref-type name="Journal Article"&gt;17&lt;/ref-type&gt;&lt;contributors&gt;&lt;authors&gt;&lt;author&gt;Skovgaard, Jakob&lt;/author&gt;&lt;/authors&gt;&lt;/contributors&gt;&lt;titles&gt;&lt;title&gt;EU climate policy after the crisis&lt;/title&gt;&lt;secondary-title&gt;Environmental Politics&lt;/secondary-title&gt;&lt;/titles&gt;&lt;periodical&gt;&lt;full-title&gt;Environmental Politics&lt;/full-title&gt;&lt;abbr-1&gt;Environmental Politics&lt;/abbr-1&gt;&lt;/periodical&gt;&lt;pages&gt;1-17&lt;/pages&gt;&lt;volume&gt;23&lt;/volume&gt;&lt;number&gt;1&lt;/number&gt;&lt;dates&gt;&lt;year&gt;2014&lt;/year&gt;&lt;/dates&gt;&lt;isbn&gt;0964-4016&lt;/isbn&gt;&lt;urls&gt;&lt;/urls&gt;&lt;/record&gt;&lt;/Cite&gt;&lt;/EndNote&gt;</w:instrText>
            </w:r>
            <w:r>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Skovgaard (2014)</w:t>
            </w:r>
            <w:r>
              <w:rPr>
                <w:rFonts w:ascii="TimesNewRomanPSMT" w:hAnsi="TimesNewRomanPSMT" w:cs="TimesNewRomanPSMT"/>
                <w:sz w:val="20"/>
                <w:szCs w:val="20"/>
                <w:lang w:val="en-GB"/>
              </w:rPr>
              <w:fldChar w:fldCharType="end"/>
            </w:r>
          </w:p>
        </w:tc>
        <w:tc>
          <w:tcPr>
            <w:tcW w:w="1701" w:type="dxa"/>
          </w:tcPr>
          <w:p w14:paraId="605856A6"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sidRPr="00606162">
              <w:rPr>
                <w:rFonts w:ascii="TimesNewRomanPSMT" w:hAnsi="TimesNewRomanPSMT" w:cs="TimesNewRomanPSMT"/>
                <w:sz w:val="20"/>
                <w:szCs w:val="20"/>
                <w:lang w:val="en-GB"/>
              </w:rPr>
              <w:t>EU’s climate and energy policies.</w:t>
            </w:r>
          </w:p>
        </w:tc>
        <w:tc>
          <w:tcPr>
            <w:tcW w:w="1417" w:type="dxa"/>
          </w:tcPr>
          <w:p w14:paraId="3801082E"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GFC, 2009-11</w:t>
            </w:r>
          </w:p>
        </w:tc>
        <w:tc>
          <w:tcPr>
            <w:tcW w:w="2268" w:type="dxa"/>
          </w:tcPr>
          <w:p w14:paraId="1AA39971"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Expert interviews </w:t>
            </w:r>
          </w:p>
        </w:tc>
        <w:tc>
          <w:tcPr>
            <w:tcW w:w="6663" w:type="dxa"/>
          </w:tcPr>
          <w:p w14:paraId="11423788"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sidRPr="001626EA">
              <w:rPr>
                <w:rFonts w:ascii="TimesNewRomanPSMT" w:hAnsi="TimesNewRomanPSMT" w:cs="TimesNewRomanPSMT"/>
                <w:sz w:val="20"/>
                <w:szCs w:val="20"/>
                <w:lang w:val="en-GB"/>
              </w:rPr>
              <w:t xml:space="preserve">The GFC crisis deepened the division between the “green growth” and “trade-off” policy frames (climate policy as beneficial or detrimental to growth); division happened between countries and in some case within countries. </w:t>
            </w:r>
          </w:p>
        </w:tc>
      </w:tr>
      <w:tr w:rsidR="005504C2" w:rsidRPr="004B3779" w14:paraId="034AE335" w14:textId="77777777" w:rsidTr="005C6916">
        <w:tc>
          <w:tcPr>
            <w:tcW w:w="638" w:type="dxa"/>
          </w:tcPr>
          <w:p w14:paraId="5689D0DE"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14</w:t>
            </w:r>
          </w:p>
        </w:tc>
        <w:tc>
          <w:tcPr>
            <w:tcW w:w="1909" w:type="dxa"/>
          </w:tcPr>
          <w:p w14:paraId="001EC93E" w14:textId="752FDA1B"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fldChar w:fldCharType="begin"/>
            </w:r>
            <w:r w:rsidR="006F4619">
              <w:rPr>
                <w:rFonts w:ascii="TimesNewRomanPSMT" w:hAnsi="TimesNewRomanPSMT" w:cs="TimesNewRomanPSMT"/>
                <w:sz w:val="20"/>
                <w:szCs w:val="20"/>
                <w:lang w:val="en-GB"/>
              </w:rPr>
              <w:instrText xml:space="preserve"> ADDIN EN.CITE &lt;EndNote&gt;&lt;Cite AuthorYear="1"&gt;&lt;Author&gt;Geels&lt;/Author&gt;&lt;Year&gt;2013&lt;/Year&gt;&lt;RecNum&gt;275&lt;/RecNum&gt;&lt;DisplayText&gt;Geels (2013)&lt;/DisplayText&gt;&lt;record&gt;&lt;rec-number&gt;275&lt;/rec-number&gt;&lt;foreign-keys&gt;&lt;key app="EN" db-id="zap5wezzop9xpwe0awepz55lfafptea5pr2w" timestamp="1621612017"&gt;275&lt;/key&gt;&lt;/foreign-keys&gt;&lt;ref-type name="Journal Article"&gt;17&lt;/ref-type&gt;&lt;contributors&gt;&lt;authors&gt;&lt;author&gt;Geels, Frank W&lt;/author&gt;&lt;/authors&gt;&lt;/contributors&gt;&lt;titles&gt;&lt;title&gt;The impact of the financial–economic crisis on sustainability transitions: Financial investment, governance and public discourse&lt;/title&gt;&lt;secondary-title&gt;Environmental Innovation and Societal Transitions&lt;/secondary-title&gt;&lt;/titles&gt;&lt;periodical&gt;&lt;full-title&gt;Environmental Innovation and Societal Transitions&lt;/full-title&gt;&lt;abbr-1&gt;Environmental Innovation and Societal Transitions&lt;/abbr-1&gt;&lt;/periodical&gt;&lt;pages&gt;67-95&lt;/pages&gt;&lt;volume&gt;6&lt;/volume&gt;&lt;dates&gt;&lt;year&gt;2013&lt;/year&gt;&lt;/dates&gt;&lt;isbn&gt;2210-4224&lt;/isbn&gt;&lt;urls&gt;&lt;/urls&gt;&lt;/record&gt;&lt;/Cite&gt;&lt;/EndNote&gt;</w:instrText>
            </w:r>
            <w:r>
              <w:rPr>
                <w:rFonts w:ascii="TimesNewRomanPSMT" w:hAnsi="TimesNewRomanPSMT" w:cs="TimesNewRomanPSMT"/>
                <w:sz w:val="20"/>
                <w:szCs w:val="20"/>
                <w:lang w:val="en-GB"/>
              </w:rPr>
              <w:fldChar w:fldCharType="separate"/>
            </w:r>
            <w:r w:rsidR="006F4619">
              <w:rPr>
                <w:rFonts w:ascii="TimesNewRomanPSMT" w:hAnsi="TimesNewRomanPSMT" w:cs="TimesNewRomanPSMT"/>
                <w:noProof/>
                <w:sz w:val="20"/>
                <w:szCs w:val="20"/>
                <w:lang w:val="en-GB"/>
              </w:rPr>
              <w:t>Geels (2013)</w:t>
            </w:r>
            <w:r>
              <w:rPr>
                <w:rFonts w:ascii="TimesNewRomanPSMT" w:hAnsi="TimesNewRomanPSMT" w:cs="TimesNewRomanPSMT"/>
                <w:sz w:val="20"/>
                <w:szCs w:val="20"/>
                <w:lang w:val="en-GB"/>
              </w:rPr>
              <w:fldChar w:fldCharType="end"/>
            </w:r>
          </w:p>
        </w:tc>
        <w:tc>
          <w:tcPr>
            <w:tcW w:w="1701" w:type="dxa"/>
          </w:tcPr>
          <w:p w14:paraId="381AF4EA"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Europe – climate and energy policy </w:t>
            </w:r>
          </w:p>
        </w:tc>
        <w:tc>
          <w:tcPr>
            <w:tcW w:w="1417" w:type="dxa"/>
          </w:tcPr>
          <w:p w14:paraId="7D3280FC"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GFC, 2008-2011</w:t>
            </w:r>
          </w:p>
        </w:tc>
        <w:tc>
          <w:tcPr>
            <w:tcW w:w="2268" w:type="dxa"/>
          </w:tcPr>
          <w:p w14:paraId="158B32D1"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 xml:space="preserve">No specificized. </w:t>
            </w:r>
          </w:p>
        </w:tc>
        <w:tc>
          <w:tcPr>
            <w:tcW w:w="6663" w:type="dxa"/>
          </w:tcPr>
          <w:p w14:paraId="18294BBA" w14:textId="77777777" w:rsidR="005504C2" w:rsidRPr="00933763" w:rsidRDefault="005504C2" w:rsidP="005C6916">
            <w:pPr>
              <w:autoSpaceDE w:val="0"/>
              <w:autoSpaceDN w:val="0"/>
              <w:adjustRightInd w:val="0"/>
              <w:rPr>
                <w:rFonts w:ascii="TimesNewRomanPSMT" w:hAnsi="TimesNewRomanPSMT" w:cs="TimesNewRomanPSMT"/>
                <w:sz w:val="20"/>
                <w:szCs w:val="20"/>
                <w:lang w:val="en-GB"/>
              </w:rPr>
            </w:pPr>
            <w:r>
              <w:rPr>
                <w:rFonts w:ascii="TimesNewRomanPSMT" w:hAnsi="TimesNewRomanPSMT" w:cs="TimesNewRomanPSMT"/>
                <w:sz w:val="20"/>
                <w:szCs w:val="20"/>
                <w:lang w:val="en-GB"/>
              </w:rPr>
              <w:t>T</w:t>
            </w:r>
            <w:r w:rsidRPr="00880D4C">
              <w:rPr>
                <w:rFonts w:ascii="TimesNewRomanPSMT" w:hAnsi="TimesNewRomanPSMT" w:cs="TimesNewRomanPSMT"/>
                <w:sz w:val="20"/>
                <w:szCs w:val="20"/>
                <w:lang w:val="en-GB"/>
              </w:rPr>
              <w:t>he early crisis years (2008–2010) created a</w:t>
            </w:r>
            <w:r>
              <w:rPr>
                <w:rFonts w:ascii="TimesNewRomanPSMT" w:hAnsi="TimesNewRomanPSMT" w:cs="TimesNewRomanPSMT"/>
                <w:sz w:val="20"/>
                <w:szCs w:val="20"/>
                <w:lang w:val="en-GB"/>
              </w:rPr>
              <w:t xml:space="preserve"> </w:t>
            </w:r>
            <w:r w:rsidRPr="00880D4C">
              <w:rPr>
                <w:rFonts w:ascii="TimesNewRomanPSMT" w:hAnsi="TimesNewRomanPSMT" w:cs="TimesNewRomanPSMT"/>
                <w:sz w:val="20"/>
                <w:szCs w:val="20"/>
                <w:lang w:val="en-GB"/>
              </w:rPr>
              <w:t>window of opportunity for positive solutions. But since 2010–2011</w:t>
            </w:r>
            <w:r>
              <w:rPr>
                <w:rFonts w:ascii="TimesNewRomanPSMT" w:hAnsi="TimesNewRomanPSMT" w:cs="TimesNewRomanPSMT"/>
                <w:sz w:val="20"/>
                <w:szCs w:val="20"/>
                <w:lang w:val="en-GB"/>
              </w:rPr>
              <w:t xml:space="preserve"> </w:t>
            </w:r>
            <w:r w:rsidRPr="00880D4C">
              <w:rPr>
                <w:rFonts w:ascii="TimesNewRomanPSMT" w:hAnsi="TimesNewRomanPSMT" w:cs="TimesNewRomanPSMT"/>
                <w:sz w:val="20"/>
                <w:szCs w:val="20"/>
                <w:lang w:val="en-GB"/>
              </w:rPr>
              <w:t>the financial–economic</w:t>
            </w:r>
            <w:r>
              <w:rPr>
                <w:rFonts w:ascii="TimesNewRomanPSMT" w:hAnsi="TimesNewRomanPSMT" w:cs="TimesNewRomanPSMT"/>
                <w:sz w:val="20"/>
                <w:szCs w:val="20"/>
                <w:lang w:val="en-GB"/>
              </w:rPr>
              <w:t xml:space="preserve"> crisis had</w:t>
            </w:r>
            <w:r w:rsidRPr="00880D4C">
              <w:rPr>
                <w:rFonts w:ascii="TimesNewRomanPSMT" w:hAnsi="TimesNewRomanPSMT" w:cs="TimesNewRomanPSMT"/>
                <w:sz w:val="20"/>
                <w:szCs w:val="20"/>
                <w:lang w:val="en-GB"/>
              </w:rPr>
              <w:t xml:space="preserve"> negative influences on sustainability transitions that</w:t>
            </w:r>
            <w:r>
              <w:rPr>
                <w:rFonts w:ascii="TimesNewRomanPSMT" w:hAnsi="TimesNewRomanPSMT" w:cs="TimesNewRomanPSMT"/>
                <w:sz w:val="20"/>
                <w:szCs w:val="20"/>
                <w:lang w:val="en-GB"/>
              </w:rPr>
              <w:t xml:space="preserve"> </w:t>
            </w:r>
            <w:r w:rsidRPr="00880D4C">
              <w:rPr>
                <w:rFonts w:ascii="TimesNewRomanPSMT" w:hAnsi="TimesNewRomanPSMT" w:cs="TimesNewRomanPSMT"/>
                <w:sz w:val="20"/>
                <w:szCs w:val="20"/>
                <w:lang w:val="en-GB"/>
              </w:rPr>
              <w:t>may cause some slow-down.</w:t>
            </w:r>
          </w:p>
        </w:tc>
      </w:tr>
    </w:tbl>
    <w:p w14:paraId="73BBD425" w14:textId="77777777" w:rsidR="006F4619" w:rsidRDefault="006F4619">
      <w:pPr>
        <w:rPr>
          <w:lang w:val="en-GB"/>
        </w:rPr>
      </w:pPr>
    </w:p>
    <w:p w14:paraId="66F4A519" w14:textId="77777777" w:rsidR="006F4619" w:rsidRDefault="006F4619">
      <w:pPr>
        <w:rPr>
          <w:lang w:val="en-GB"/>
        </w:rPr>
      </w:pPr>
    </w:p>
    <w:p w14:paraId="2110CC95" w14:textId="77777777" w:rsidR="0023571A" w:rsidRDefault="0023571A" w:rsidP="006F4619">
      <w:pPr>
        <w:pStyle w:val="EndNoteBibliography"/>
        <w:spacing w:after="0"/>
        <w:ind w:left="720" w:hanging="720"/>
        <w:rPr>
          <w:lang w:val="en-GB"/>
        </w:rPr>
      </w:pPr>
    </w:p>
    <w:p w14:paraId="3DD5BEE6" w14:textId="77777777" w:rsidR="0023571A" w:rsidRDefault="0023571A" w:rsidP="006F4619">
      <w:pPr>
        <w:pStyle w:val="EndNoteBibliography"/>
        <w:spacing w:after="0"/>
        <w:ind w:left="720" w:hanging="720"/>
        <w:rPr>
          <w:lang w:val="en-GB"/>
        </w:rPr>
      </w:pPr>
    </w:p>
    <w:p w14:paraId="1D846E34" w14:textId="77777777" w:rsidR="0023571A" w:rsidRDefault="0023571A" w:rsidP="006F4619">
      <w:pPr>
        <w:pStyle w:val="EndNoteBibliography"/>
        <w:spacing w:after="0"/>
        <w:ind w:left="720" w:hanging="720"/>
        <w:rPr>
          <w:lang w:val="en-GB"/>
        </w:rPr>
      </w:pPr>
    </w:p>
    <w:p w14:paraId="0090AA67" w14:textId="77777777" w:rsidR="0023571A" w:rsidRDefault="0023571A" w:rsidP="006F4619">
      <w:pPr>
        <w:pStyle w:val="EndNoteBibliography"/>
        <w:spacing w:after="0"/>
        <w:ind w:left="720" w:hanging="720"/>
        <w:rPr>
          <w:lang w:val="en-GB"/>
        </w:rPr>
      </w:pPr>
    </w:p>
    <w:p w14:paraId="3571438A" w14:textId="77777777" w:rsidR="0023571A" w:rsidRDefault="0023571A" w:rsidP="006F4619">
      <w:pPr>
        <w:pStyle w:val="EndNoteBibliography"/>
        <w:spacing w:after="0"/>
        <w:ind w:left="720" w:hanging="720"/>
        <w:rPr>
          <w:lang w:val="en-GB"/>
        </w:rPr>
      </w:pPr>
    </w:p>
    <w:p w14:paraId="00BDB46B" w14:textId="77777777" w:rsidR="0023571A" w:rsidRDefault="0023571A" w:rsidP="006F4619">
      <w:pPr>
        <w:pStyle w:val="EndNoteBibliography"/>
        <w:spacing w:after="0"/>
        <w:ind w:left="720" w:hanging="720"/>
        <w:rPr>
          <w:lang w:val="en-GB"/>
        </w:rPr>
      </w:pPr>
    </w:p>
    <w:p w14:paraId="08BF27C5" w14:textId="77777777" w:rsidR="0023571A" w:rsidRDefault="0023571A" w:rsidP="006F4619">
      <w:pPr>
        <w:pStyle w:val="EndNoteBibliography"/>
        <w:spacing w:after="0"/>
        <w:ind w:left="720" w:hanging="720"/>
        <w:rPr>
          <w:lang w:val="en-GB"/>
        </w:rPr>
        <w:sectPr w:rsidR="0023571A" w:rsidSect="005504C2">
          <w:pgSz w:w="16838" w:h="11906" w:orient="landscape"/>
          <w:pgMar w:top="1417" w:right="1134" w:bottom="1417" w:left="1417" w:header="708" w:footer="708" w:gutter="0"/>
          <w:cols w:space="708"/>
          <w:docGrid w:linePitch="360"/>
        </w:sectPr>
      </w:pPr>
    </w:p>
    <w:p w14:paraId="2D73CF15" w14:textId="49982F01" w:rsidR="00F65E05" w:rsidRPr="00FB58CB" w:rsidRDefault="00157F1A" w:rsidP="00F65E05">
      <w:pPr>
        <w:pStyle w:val="Caption"/>
        <w:keepNext/>
        <w:rPr>
          <w:rFonts w:ascii="Times New Roman" w:hAnsi="Times New Roman" w:cs="Times New Roman"/>
          <w:b/>
          <w:bCs/>
          <w:i w:val="0"/>
          <w:iCs w:val="0"/>
          <w:sz w:val="28"/>
          <w:szCs w:val="28"/>
          <w:lang w:val="en-GB"/>
        </w:rPr>
      </w:pPr>
      <w:r>
        <w:rPr>
          <w:rFonts w:ascii="Times New Roman" w:hAnsi="Times New Roman" w:cs="Times New Roman"/>
          <w:b/>
          <w:bCs/>
          <w:i w:val="0"/>
          <w:iCs w:val="0"/>
          <w:sz w:val="28"/>
          <w:szCs w:val="28"/>
          <w:lang w:val="en-GB"/>
        </w:rPr>
        <w:lastRenderedPageBreak/>
        <w:t>Note</w:t>
      </w:r>
      <w:r w:rsidR="00F65E05" w:rsidRPr="00FB58CB">
        <w:rPr>
          <w:rFonts w:ascii="Times New Roman" w:hAnsi="Times New Roman" w:cs="Times New Roman"/>
          <w:b/>
          <w:bCs/>
          <w:i w:val="0"/>
          <w:iCs w:val="0"/>
          <w:sz w:val="28"/>
          <w:szCs w:val="28"/>
          <w:lang w:val="en-GB"/>
        </w:rPr>
        <w:t xml:space="preserve"> </w:t>
      </w:r>
      <w:r w:rsidR="00D34B1B">
        <w:rPr>
          <w:rFonts w:ascii="Times New Roman" w:hAnsi="Times New Roman" w:cs="Times New Roman"/>
          <w:b/>
          <w:bCs/>
          <w:i w:val="0"/>
          <w:iCs w:val="0"/>
          <w:sz w:val="28"/>
          <w:szCs w:val="28"/>
          <w:lang w:val="en-GB"/>
        </w:rPr>
        <w:t>2</w:t>
      </w:r>
      <w:r w:rsidR="00F65E05" w:rsidRPr="00FB58CB">
        <w:rPr>
          <w:rFonts w:ascii="Times New Roman" w:hAnsi="Times New Roman" w:cs="Times New Roman"/>
          <w:b/>
          <w:bCs/>
          <w:i w:val="0"/>
          <w:iCs w:val="0"/>
          <w:sz w:val="28"/>
          <w:szCs w:val="28"/>
          <w:lang w:val="en-GB"/>
        </w:rPr>
        <w:t xml:space="preserve">: </w:t>
      </w:r>
      <w:r w:rsidR="00F65E05">
        <w:rPr>
          <w:rFonts w:ascii="Times New Roman" w:hAnsi="Times New Roman" w:cs="Times New Roman"/>
          <w:b/>
          <w:bCs/>
          <w:i w:val="0"/>
          <w:iCs w:val="0"/>
          <w:sz w:val="28"/>
          <w:szCs w:val="28"/>
          <w:lang w:val="en-GB"/>
        </w:rPr>
        <w:t>Results of decomposition analysis</w:t>
      </w:r>
      <w:r w:rsidR="00F65E05" w:rsidRPr="00FB58CB">
        <w:rPr>
          <w:rFonts w:ascii="Times New Roman" w:hAnsi="Times New Roman" w:cs="Times New Roman"/>
          <w:b/>
          <w:bCs/>
          <w:i w:val="0"/>
          <w:iCs w:val="0"/>
          <w:sz w:val="28"/>
          <w:szCs w:val="28"/>
          <w:lang w:val="en-GB"/>
        </w:rPr>
        <w:t xml:space="preserve"> </w:t>
      </w:r>
    </w:p>
    <w:tbl>
      <w:tblPr>
        <w:tblW w:w="7201" w:type="dxa"/>
        <w:tblCellMar>
          <w:left w:w="70" w:type="dxa"/>
          <w:right w:w="70" w:type="dxa"/>
        </w:tblCellMar>
        <w:tblLook w:val="04A0" w:firstRow="1" w:lastRow="0" w:firstColumn="1" w:lastColumn="0" w:noHBand="0" w:noVBand="1"/>
      </w:tblPr>
      <w:tblGrid>
        <w:gridCol w:w="960"/>
        <w:gridCol w:w="1314"/>
        <w:gridCol w:w="1087"/>
        <w:gridCol w:w="960"/>
        <w:gridCol w:w="960"/>
        <w:gridCol w:w="960"/>
        <w:gridCol w:w="960"/>
      </w:tblGrid>
      <w:tr w:rsidR="003C18AE" w:rsidRPr="00D431D4" w14:paraId="7B5CED9A" w14:textId="77777777" w:rsidTr="00787AA0">
        <w:trPr>
          <w:trHeight w:val="300"/>
        </w:trPr>
        <w:tc>
          <w:tcPr>
            <w:tcW w:w="960" w:type="dxa"/>
            <w:tcBorders>
              <w:top w:val="single" w:sz="4" w:space="0" w:color="auto"/>
              <w:left w:val="nil"/>
              <w:right w:val="nil"/>
            </w:tcBorders>
            <w:shd w:val="clear" w:color="auto" w:fill="E7E6E6" w:themeFill="background2"/>
            <w:noWrap/>
            <w:vAlign w:val="bottom"/>
            <w:hideMark/>
          </w:tcPr>
          <w:p w14:paraId="6C0AEB9D" w14:textId="77777777" w:rsidR="003C18AE" w:rsidRPr="00AB33FF" w:rsidRDefault="003C18AE" w:rsidP="005C6916">
            <w:pPr>
              <w:spacing w:before="240" w:line="360" w:lineRule="auto"/>
              <w:jc w:val="center"/>
              <w:rPr>
                <w:rFonts w:ascii="Times New Roman" w:eastAsia="Times New Roman" w:hAnsi="Times New Roman" w:cs="Times New Roman"/>
                <w:b/>
                <w:bCs/>
                <w:color w:val="000000"/>
                <w:sz w:val="20"/>
                <w:szCs w:val="20"/>
                <w:lang w:eastAsia="de-DE"/>
              </w:rPr>
            </w:pPr>
            <w:r w:rsidRPr="00AB33FF">
              <w:rPr>
                <w:rFonts w:ascii="Times New Roman" w:eastAsia="Times New Roman" w:hAnsi="Times New Roman" w:cs="Times New Roman"/>
                <w:b/>
                <w:bCs/>
                <w:color w:val="000000"/>
                <w:sz w:val="20"/>
                <w:szCs w:val="20"/>
                <w:lang w:eastAsia="de-DE"/>
              </w:rPr>
              <w:t>Country</w:t>
            </w:r>
          </w:p>
        </w:tc>
        <w:tc>
          <w:tcPr>
            <w:tcW w:w="1314" w:type="dxa"/>
            <w:tcBorders>
              <w:top w:val="single" w:sz="4" w:space="0" w:color="auto"/>
              <w:left w:val="nil"/>
              <w:bottom w:val="single" w:sz="4" w:space="0" w:color="auto"/>
              <w:right w:val="nil"/>
            </w:tcBorders>
            <w:shd w:val="clear" w:color="auto" w:fill="E7E6E6" w:themeFill="background2"/>
            <w:noWrap/>
            <w:vAlign w:val="bottom"/>
            <w:hideMark/>
          </w:tcPr>
          <w:p w14:paraId="79FDC6C4" w14:textId="77777777" w:rsidR="003C18AE" w:rsidRPr="00AB33FF" w:rsidRDefault="003C18AE" w:rsidP="005C6916">
            <w:pPr>
              <w:spacing w:before="240" w:line="360" w:lineRule="auto"/>
              <w:jc w:val="center"/>
              <w:rPr>
                <w:rFonts w:ascii="Times New Roman" w:eastAsia="Times New Roman" w:hAnsi="Times New Roman" w:cs="Times New Roman"/>
                <w:b/>
                <w:bCs/>
                <w:color w:val="000000"/>
                <w:sz w:val="20"/>
                <w:szCs w:val="20"/>
                <w:lang w:val="en-GB" w:eastAsia="de-DE"/>
              </w:rPr>
            </w:pPr>
            <w:r w:rsidRPr="00AB33FF">
              <w:rPr>
                <w:rFonts w:ascii="Times New Roman" w:eastAsia="Times New Roman" w:hAnsi="Times New Roman" w:cs="Times New Roman"/>
                <w:b/>
                <w:bCs/>
                <w:color w:val="000000"/>
                <w:sz w:val="20"/>
                <w:szCs w:val="20"/>
                <w:lang w:val="en-GB" w:eastAsia="de-DE"/>
              </w:rPr>
              <w:t>Period</w:t>
            </w:r>
          </w:p>
        </w:tc>
        <w:tc>
          <w:tcPr>
            <w:tcW w:w="1087" w:type="dxa"/>
            <w:tcBorders>
              <w:top w:val="single" w:sz="4" w:space="0" w:color="auto"/>
              <w:left w:val="nil"/>
              <w:bottom w:val="single" w:sz="4" w:space="0" w:color="auto"/>
              <w:right w:val="nil"/>
            </w:tcBorders>
            <w:shd w:val="clear" w:color="auto" w:fill="E7E6E6" w:themeFill="background2"/>
            <w:noWrap/>
            <w:vAlign w:val="bottom"/>
            <w:hideMark/>
          </w:tcPr>
          <w:p w14:paraId="17BF3A3A" w14:textId="77777777" w:rsidR="003C18AE" w:rsidRPr="00AB33FF" w:rsidRDefault="003C18AE" w:rsidP="005C6916">
            <w:pPr>
              <w:spacing w:before="240" w:line="360" w:lineRule="auto"/>
              <w:jc w:val="center"/>
              <w:rPr>
                <w:rFonts w:ascii="Times New Roman" w:eastAsia="Times New Roman" w:hAnsi="Times New Roman" w:cs="Times New Roman"/>
                <w:b/>
                <w:bCs/>
                <w:color w:val="000000"/>
                <w:sz w:val="20"/>
                <w:szCs w:val="20"/>
                <w:lang w:val="en-GB" w:eastAsia="de-DE"/>
              </w:rPr>
            </w:pPr>
            <w:r w:rsidRPr="00AB33FF">
              <w:rPr>
                <w:rFonts w:ascii="Times New Roman" w:eastAsia="Times New Roman" w:hAnsi="Times New Roman" w:cs="Times New Roman"/>
                <w:b/>
                <w:bCs/>
                <w:color w:val="000000"/>
                <w:sz w:val="20"/>
                <w:szCs w:val="20"/>
                <w:lang w:val="en-GB" w:eastAsia="de-DE"/>
              </w:rPr>
              <w:t>ΔCO</w:t>
            </w:r>
            <w:r w:rsidRPr="00AB33FF">
              <w:rPr>
                <w:rFonts w:ascii="Times New Roman" w:eastAsia="Times New Roman" w:hAnsi="Times New Roman" w:cs="Times New Roman"/>
                <w:b/>
                <w:bCs/>
                <w:color w:val="000000"/>
                <w:sz w:val="20"/>
                <w:szCs w:val="20"/>
                <w:vertAlign w:val="subscript"/>
                <w:lang w:val="en-GB" w:eastAsia="de-DE"/>
              </w:rPr>
              <w:t>2</w:t>
            </w:r>
          </w:p>
        </w:tc>
        <w:tc>
          <w:tcPr>
            <w:tcW w:w="960" w:type="dxa"/>
            <w:tcBorders>
              <w:top w:val="single" w:sz="4" w:space="0" w:color="auto"/>
              <w:left w:val="nil"/>
              <w:bottom w:val="single" w:sz="4" w:space="0" w:color="auto"/>
              <w:right w:val="nil"/>
            </w:tcBorders>
            <w:shd w:val="clear" w:color="auto" w:fill="E7E6E6" w:themeFill="background2"/>
            <w:noWrap/>
            <w:vAlign w:val="bottom"/>
            <w:hideMark/>
          </w:tcPr>
          <w:p w14:paraId="1E2981A3" w14:textId="77777777" w:rsidR="003C18AE" w:rsidRPr="00AB33FF" w:rsidRDefault="003C18AE" w:rsidP="005C6916">
            <w:pPr>
              <w:spacing w:before="240" w:line="360" w:lineRule="auto"/>
              <w:jc w:val="center"/>
              <w:rPr>
                <w:rFonts w:ascii="Times New Roman" w:eastAsia="Times New Roman" w:hAnsi="Times New Roman" w:cs="Times New Roman"/>
                <w:b/>
                <w:bCs/>
                <w:color w:val="000000"/>
                <w:sz w:val="20"/>
                <w:szCs w:val="20"/>
                <w:lang w:val="en-GB" w:eastAsia="de-DE"/>
              </w:rPr>
            </w:pPr>
            <w:r w:rsidRPr="00AB33FF">
              <w:rPr>
                <w:rFonts w:ascii="Times New Roman" w:eastAsia="Times New Roman" w:hAnsi="Times New Roman" w:cs="Times New Roman"/>
                <w:b/>
                <w:bCs/>
                <w:color w:val="000000"/>
                <w:sz w:val="20"/>
                <w:szCs w:val="20"/>
                <w:lang w:val="en-GB" w:eastAsia="de-DE"/>
              </w:rPr>
              <w:t>ΔP</w:t>
            </w:r>
          </w:p>
        </w:tc>
        <w:tc>
          <w:tcPr>
            <w:tcW w:w="960" w:type="dxa"/>
            <w:tcBorders>
              <w:top w:val="single" w:sz="4" w:space="0" w:color="auto"/>
              <w:left w:val="nil"/>
              <w:bottom w:val="single" w:sz="4" w:space="0" w:color="auto"/>
              <w:right w:val="nil"/>
            </w:tcBorders>
            <w:shd w:val="clear" w:color="auto" w:fill="E7E6E6" w:themeFill="background2"/>
            <w:noWrap/>
            <w:vAlign w:val="bottom"/>
            <w:hideMark/>
          </w:tcPr>
          <w:p w14:paraId="395F1764" w14:textId="77777777" w:rsidR="003C18AE" w:rsidRPr="00AB33FF" w:rsidRDefault="003C18AE" w:rsidP="005C6916">
            <w:pPr>
              <w:spacing w:before="240" w:line="360" w:lineRule="auto"/>
              <w:jc w:val="center"/>
              <w:rPr>
                <w:rFonts w:ascii="Times New Roman" w:eastAsia="Times New Roman" w:hAnsi="Times New Roman" w:cs="Times New Roman"/>
                <w:b/>
                <w:bCs/>
                <w:color w:val="000000"/>
                <w:sz w:val="20"/>
                <w:szCs w:val="20"/>
                <w:lang w:val="en-GB" w:eastAsia="de-DE"/>
              </w:rPr>
            </w:pPr>
            <w:r w:rsidRPr="00AB33FF">
              <w:rPr>
                <w:rFonts w:ascii="Times New Roman" w:eastAsia="Times New Roman" w:hAnsi="Times New Roman" w:cs="Times New Roman"/>
                <w:b/>
                <w:bCs/>
                <w:color w:val="000000"/>
                <w:sz w:val="20"/>
                <w:szCs w:val="20"/>
                <w:lang w:val="en-GB" w:eastAsia="de-DE"/>
              </w:rPr>
              <w:t>ΔA</w:t>
            </w:r>
          </w:p>
        </w:tc>
        <w:tc>
          <w:tcPr>
            <w:tcW w:w="960" w:type="dxa"/>
            <w:tcBorders>
              <w:top w:val="single" w:sz="4" w:space="0" w:color="auto"/>
              <w:left w:val="nil"/>
              <w:bottom w:val="single" w:sz="4" w:space="0" w:color="auto"/>
              <w:right w:val="nil"/>
            </w:tcBorders>
            <w:shd w:val="clear" w:color="auto" w:fill="E7E6E6" w:themeFill="background2"/>
            <w:noWrap/>
            <w:vAlign w:val="bottom"/>
            <w:hideMark/>
          </w:tcPr>
          <w:p w14:paraId="1011349E" w14:textId="77777777" w:rsidR="003C18AE" w:rsidRPr="00AB33FF" w:rsidRDefault="003C18AE" w:rsidP="005C6916">
            <w:pPr>
              <w:spacing w:before="240" w:line="360" w:lineRule="auto"/>
              <w:jc w:val="center"/>
              <w:rPr>
                <w:rFonts w:ascii="Times New Roman" w:eastAsia="Times New Roman" w:hAnsi="Times New Roman" w:cs="Times New Roman"/>
                <w:b/>
                <w:bCs/>
                <w:color w:val="000000"/>
                <w:sz w:val="20"/>
                <w:szCs w:val="20"/>
                <w:lang w:val="en-GB" w:eastAsia="de-DE"/>
              </w:rPr>
            </w:pPr>
            <w:r w:rsidRPr="00AB33FF">
              <w:rPr>
                <w:rFonts w:ascii="Times New Roman" w:eastAsia="Times New Roman" w:hAnsi="Times New Roman" w:cs="Times New Roman"/>
                <w:b/>
                <w:bCs/>
                <w:color w:val="000000"/>
                <w:sz w:val="20"/>
                <w:szCs w:val="20"/>
                <w:lang w:val="en-GB" w:eastAsia="de-DE"/>
              </w:rPr>
              <w:t>ΔEI</w:t>
            </w:r>
          </w:p>
        </w:tc>
        <w:tc>
          <w:tcPr>
            <w:tcW w:w="960" w:type="dxa"/>
            <w:tcBorders>
              <w:top w:val="single" w:sz="4" w:space="0" w:color="auto"/>
              <w:left w:val="nil"/>
              <w:bottom w:val="single" w:sz="4" w:space="0" w:color="auto"/>
              <w:right w:val="nil"/>
            </w:tcBorders>
            <w:shd w:val="clear" w:color="auto" w:fill="E7E6E6" w:themeFill="background2"/>
            <w:noWrap/>
            <w:vAlign w:val="bottom"/>
            <w:hideMark/>
          </w:tcPr>
          <w:p w14:paraId="7F1C4A57" w14:textId="77777777" w:rsidR="003C18AE" w:rsidRPr="00AB33FF" w:rsidRDefault="003C18AE" w:rsidP="005C6916">
            <w:pPr>
              <w:spacing w:before="240" w:line="360" w:lineRule="auto"/>
              <w:jc w:val="center"/>
              <w:rPr>
                <w:rFonts w:ascii="Times New Roman" w:eastAsia="Times New Roman" w:hAnsi="Times New Roman" w:cs="Times New Roman"/>
                <w:b/>
                <w:bCs/>
                <w:color w:val="000000"/>
                <w:sz w:val="20"/>
                <w:szCs w:val="20"/>
                <w:lang w:val="en-GB" w:eastAsia="de-DE"/>
              </w:rPr>
            </w:pPr>
            <w:r w:rsidRPr="00AB33FF">
              <w:rPr>
                <w:rFonts w:ascii="Times New Roman" w:eastAsia="Times New Roman" w:hAnsi="Times New Roman" w:cs="Times New Roman"/>
                <w:b/>
                <w:bCs/>
                <w:color w:val="000000"/>
                <w:sz w:val="20"/>
                <w:szCs w:val="20"/>
                <w:lang w:val="en-GB" w:eastAsia="de-DE"/>
              </w:rPr>
              <w:t>ΔCI</w:t>
            </w:r>
          </w:p>
        </w:tc>
      </w:tr>
      <w:tr w:rsidR="00FA456A" w:rsidRPr="00FA456A" w14:paraId="054591B5" w14:textId="77777777" w:rsidTr="00F70C97">
        <w:trPr>
          <w:trHeight w:val="300"/>
        </w:trPr>
        <w:tc>
          <w:tcPr>
            <w:tcW w:w="960" w:type="dxa"/>
            <w:tcBorders>
              <w:left w:val="nil"/>
              <w:bottom w:val="nil"/>
              <w:right w:val="nil"/>
            </w:tcBorders>
            <w:shd w:val="clear" w:color="auto" w:fill="E7E6E6" w:themeFill="background2"/>
            <w:noWrap/>
            <w:vAlign w:val="bottom"/>
          </w:tcPr>
          <w:p w14:paraId="371432D8"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p>
        </w:tc>
        <w:tc>
          <w:tcPr>
            <w:tcW w:w="1314" w:type="dxa"/>
            <w:tcBorders>
              <w:top w:val="single" w:sz="4" w:space="0" w:color="auto"/>
              <w:left w:val="nil"/>
              <w:bottom w:val="nil"/>
              <w:right w:val="nil"/>
            </w:tcBorders>
            <w:shd w:val="clear" w:color="auto" w:fill="auto"/>
            <w:noWrap/>
            <w:vAlign w:val="bottom"/>
            <w:hideMark/>
          </w:tcPr>
          <w:p w14:paraId="1CEF52BA"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r w:rsidRPr="00AB33FF">
              <w:rPr>
                <w:rFonts w:ascii="Times New Roman" w:eastAsia="Times New Roman" w:hAnsi="Times New Roman" w:cs="Times New Roman"/>
                <w:color w:val="000000"/>
                <w:sz w:val="20"/>
                <w:szCs w:val="20"/>
                <w:lang w:eastAsia="de-DE"/>
              </w:rPr>
              <w:t>1998-2007</w:t>
            </w:r>
          </w:p>
        </w:tc>
        <w:tc>
          <w:tcPr>
            <w:tcW w:w="1087" w:type="dxa"/>
            <w:tcBorders>
              <w:top w:val="single" w:sz="4" w:space="0" w:color="auto"/>
              <w:left w:val="nil"/>
              <w:bottom w:val="nil"/>
              <w:right w:val="nil"/>
            </w:tcBorders>
            <w:shd w:val="clear" w:color="auto" w:fill="auto"/>
            <w:noWrap/>
            <w:hideMark/>
          </w:tcPr>
          <w:p w14:paraId="24455D46" w14:textId="1676774F"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-0.88%</w:t>
            </w:r>
          </w:p>
        </w:tc>
        <w:tc>
          <w:tcPr>
            <w:tcW w:w="960" w:type="dxa"/>
            <w:tcBorders>
              <w:top w:val="single" w:sz="4" w:space="0" w:color="auto"/>
              <w:left w:val="nil"/>
              <w:bottom w:val="nil"/>
              <w:right w:val="nil"/>
            </w:tcBorders>
            <w:shd w:val="clear" w:color="auto" w:fill="auto"/>
            <w:noWrap/>
            <w:hideMark/>
          </w:tcPr>
          <w:p w14:paraId="141806A5" w14:textId="7C12A197"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0.04%</w:t>
            </w:r>
          </w:p>
        </w:tc>
        <w:tc>
          <w:tcPr>
            <w:tcW w:w="960" w:type="dxa"/>
            <w:tcBorders>
              <w:top w:val="single" w:sz="4" w:space="0" w:color="auto"/>
              <w:left w:val="nil"/>
              <w:bottom w:val="nil"/>
              <w:right w:val="nil"/>
            </w:tcBorders>
            <w:shd w:val="clear" w:color="auto" w:fill="auto"/>
            <w:noWrap/>
            <w:hideMark/>
          </w:tcPr>
          <w:p w14:paraId="78C3B4F7" w14:textId="0ABA5EC1"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1.59%</w:t>
            </w:r>
          </w:p>
        </w:tc>
        <w:tc>
          <w:tcPr>
            <w:tcW w:w="960" w:type="dxa"/>
            <w:tcBorders>
              <w:top w:val="single" w:sz="4" w:space="0" w:color="auto"/>
              <w:left w:val="nil"/>
              <w:bottom w:val="nil"/>
              <w:right w:val="nil"/>
            </w:tcBorders>
            <w:shd w:val="clear" w:color="auto" w:fill="auto"/>
            <w:noWrap/>
            <w:hideMark/>
          </w:tcPr>
          <w:p w14:paraId="07025D72" w14:textId="4E78EDCD"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-1.97%</w:t>
            </w:r>
          </w:p>
        </w:tc>
        <w:tc>
          <w:tcPr>
            <w:tcW w:w="960" w:type="dxa"/>
            <w:tcBorders>
              <w:top w:val="single" w:sz="4" w:space="0" w:color="auto"/>
              <w:left w:val="nil"/>
              <w:bottom w:val="nil"/>
              <w:right w:val="nil"/>
            </w:tcBorders>
            <w:shd w:val="clear" w:color="auto" w:fill="auto"/>
            <w:noWrap/>
            <w:hideMark/>
          </w:tcPr>
          <w:p w14:paraId="00C79FAE" w14:textId="282DB19E"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-0.50%</w:t>
            </w:r>
          </w:p>
        </w:tc>
      </w:tr>
      <w:tr w:rsidR="00FA456A" w:rsidRPr="00FA456A" w14:paraId="13D6C917" w14:textId="77777777" w:rsidTr="00787AA0">
        <w:trPr>
          <w:trHeight w:val="300"/>
        </w:trPr>
        <w:tc>
          <w:tcPr>
            <w:tcW w:w="960" w:type="dxa"/>
            <w:tcBorders>
              <w:top w:val="nil"/>
              <w:left w:val="nil"/>
              <w:bottom w:val="nil"/>
              <w:right w:val="nil"/>
            </w:tcBorders>
            <w:shd w:val="clear" w:color="auto" w:fill="E7E6E6" w:themeFill="background2"/>
            <w:noWrap/>
            <w:vAlign w:val="bottom"/>
          </w:tcPr>
          <w:p w14:paraId="58F388C5"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p>
        </w:tc>
        <w:tc>
          <w:tcPr>
            <w:tcW w:w="1314" w:type="dxa"/>
            <w:tcBorders>
              <w:top w:val="nil"/>
              <w:left w:val="nil"/>
              <w:bottom w:val="nil"/>
              <w:right w:val="nil"/>
            </w:tcBorders>
            <w:shd w:val="clear" w:color="auto" w:fill="auto"/>
            <w:noWrap/>
            <w:vAlign w:val="bottom"/>
            <w:hideMark/>
          </w:tcPr>
          <w:p w14:paraId="11D2E5DD"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r w:rsidRPr="00AB33FF">
              <w:rPr>
                <w:rFonts w:ascii="Times New Roman" w:eastAsia="Times New Roman" w:hAnsi="Times New Roman" w:cs="Times New Roman"/>
                <w:color w:val="000000"/>
                <w:sz w:val="20"/>
                <w:szCs w:val="20"/>
                <w:lang w:eastAsia="de-DE"/>
              </w:rPr>
              <w:t>2008-2009</w:t>
            </w:r>
          </w:p>
        </w:tc>
        <w:tc>
          <w:tcPr>
            <w:tcW w:w="1087" w:type="dxa"/>
            <w:tcBorders>
              <w:top w:val="nil"/>
              <w:left w:val="nil"/>
              <w:bottom w:val="nil"/>
              <w:right w:val="nil"/>
            </w:tcBorders>
            <w:shd w:val="clear" w:color="auto" w:fill="auto"/>
            <w:noWrap/>
            <w:hideMark/>
          </w:tcPr>
          <w:p w14:paraId="62C8FFE9" w14:textId="3568AE15"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-3.55%</w:t>
            </w:r>
          </w:p>
        </w:tc>
        <w:tc>
          <w:tcPr>
            <w:tcW w:w="960" w:type="dxa"/>
            <w:tcBorders>
              <w:top w:val="nil"/>
              <w:left w:val="nil"/>
              <w:bottom w:val="nil"/>
              <w:right w:val="nil"/>
            </w:tcBorders>
            <w:shd w:val="clear" w:color="auto" w:fill="auto"/>
            <w:noWrap/>
            <w:hideMark/>
          </w:tcPr>
          <w:p w14:paraId="540E896D" w14:textId="55EE369D"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-0.19%</w:t>
            </w:r>
          </w:p>
        </w:tc>
        <w:tc>
          <w:tcPr>
            <w:tcW w:w="960" w:type="dxa"/>
            <w:tcBorders>
              <w:top w:val="nil"/>
              <w:left w:val="nil"/>
              <w:bottom w:val="nil"/>
              <w:right w:val="nil"/>
            </w:tcBorders>
            <w:shd w:val="clear" w:color="auto" w:fill="auto"/>
            <w:noWrap/>
            <w:hideMark/>
          </w:tcPr>
          <w:p w14:paraId="4CBAF722" w14:textId="007147AF"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-2.18%</w:t>
            </w:r>
          </w:p>
        </w:tc>
        <w:tc>
          <w:tcPr>
            <w:tcW w:w="960" w:type="dxa"/>
            <w:tcBorders>
              <w:top w:val="nil"/>
              <w:left w:val="nil"/>
              <w:bottom w:val="nil"/>
              <w:right w:val="nil"/>
            </w:tcBorders>
            <w:shd w:val="clear" w:color="auto" w:fill="auto"/>
            <w:noWrap/>
            <w:hideMark/>
          </w:tcPr>
          <w:p w14:paraId="3BA7B9B4" w14:textId="344F0A4B"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-0.22%</w:t>
            </w:r>
          </w:p>
        </w:tc>
        <w:tc>
          <w:tcPr>
            <w:tcW w:w="960" w:type="dxa"/>
            <w:tcBorders>
              <w:top w:val="nil"/>
              <w:left w:val="nil"/>
              <w:bottom w:val="nil"/>
              <w:right w:val="nil"/>
            </w:tcBorders>
            <w:shd w:val="clear" w:color="auto" w:fill="auto"/>
            <w:noWrap/>
            <w:hideMark/>
          </w:tcPr>
          <w:p w14:paraId="2C8C0CE0" w14:textId="645A1463"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-1.00%</w:t>
            </w:r>
          </w:p>
        </w:tc>
      </w:tr>
      <w:tr w:rsidR="00FA456A" w:rsidRPr="00FA456A" w14:paraId="7306BE53" w14:textId="77777777" w:rsidTr="00787AA0">
        <w:trPr>
          <w:trHeight w:val="300"/>
        </w:trPr>
        <w:tc>
          <w:tcPr>
            <w:tcW w:w="960" w:type="dxa"/>
            <w:tcBorders>
              <w:top w:val="nil"/>
              <w:left w:val="nil"/>
              <w:bottom w:val="nil"/>
              <w:right w:val="nil"/>
            </w:tcBorders>
            <w:shd w:val="clear" w:color="auto" w:fill="E7E6E6" w:themeFill="background2"/>
            <w:noWrap/>
            <w:vAlign w:val="bottom"/>
            <w:hideMark/>
          </w:tcPr>
          <w:p w14:paraId="31ED376C"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r w:rsidRPr="00AB33FF">
              <w:rPr>
                <w:rFonts w:ascii="Times New Roman" w:eastAsia="Times New Roman" w:hAnsi="Times New Roman" w:cs="Times New Roman"/>
                <w:color w:val="000000"/>
                <w:sz w:val="20"/>
                <w:szCs w:val="20"/>
                <w:lang w:eastAsia="de-DE"/>
              </w:rPr>
              <w:t>Germany</w:t>
            </w:r>
          </w:p>
        </w:tc>
        <w:tc>
          <w:tcPr>
            <w:tcW w:w="1314" w:type="dxa"/>
            <w:tcBorders>
              <w:top w:val="nil"/>
              <w:left w:val="nil"/>
              <w:bottom w:val="nil"/>
              <w:right w:val="nil"/>
            </w:tcBorders>
            <w:shd w:val="clear" w:color="auto" w:fill="auto"/>
            <w:noWrap/>
            <w:vAlign w:val="bottom"/>
            <w:hideMark/>
          </w:tcPr>
          <w:p w14:paraId="7473E952"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r w:rsidRPr="00AB33FF">
              <w:rPr>
                <w:rFonts w:ascii="Times New Roman" w:eastAsia="Times New Roman" w:hAnsi="Times New Roman" w:cs="Times New Roman"/>
                <w:color w:val="000000"/>
                <w:sz w:val="20"/>
                <w:szCs w:val="20"/>
                <w:lang w:eastAsia="de-DE"/>
              </w:rPr>
              <w:t>2010-2019</w:t>
            </w:r>
          </w:p>
        </w:tc>
        <w:tc>
          <w:tcPr>
            <w:tcW w:w="1087" w:type="dxa"/>
            <w:tcBorders>
              <w:top w:val="nil"/>
              <w:left w:val="nil"/>
              <w:bottom w:val="nil"/>
              <w:right w:val="nil"/>
            </w:tcBorders>
            <w:shd w:val="clear" w:color="auto" w:fill="auto"/>
            <w:noWrap/>
            <w:hideMark/>
          </w:tcPr>
          <w:p w14:paraId="1DCAECBF" w14:textId="4C3E2321"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-0.95%</w:t>
            </w:r>
          </w:p>
        </w:tc>
        <w:tc>
          <w:tcPr>
            <w:tcW w:w="960" w:type="dxa"/>
            <w:tcBorders>
              <w:top w:val="nil"/>
              <w:left w:val="nil"/>
              <w:bottom w:val="nil"/>
              <w:right w:val="nil"/>
            </w:tcBorders>
            <w:shd w:val="clear" w:color="auto" w:fill="auto"/>
            <w:noWrap/>
            <w:hideMark/>
          </w:tcPr>
          <w:p w14:paraId="0CE91BE7" w14:textId="712EB09D"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0.13%</w:t>
            </w:r>
          </w:p>
        </w:tc>
        <w:tc>
          <w:tcPr>
            <w:tcW w:w="960" w:type="dxa"/>
            <w:tcBorders>
              <w:top w:val="nil"/>
              <w:left w:val="nil"/>
              <w:bottom w:val="nil"/>
              <w:right w:val="nil"/>
            </w:tcBorders>
            <w:shd w:val="clear" w:color="auto" w:fill="auto"/>
            <w:noWrap/>
            <w:hideMark/>
          </w:tcPr>
          <w:p w14:paraId="65E02F74" w14:textId="053D1C1B"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1.84%</w:t>
            </w:r>
          </w:p>
        </w:tc>
        <w:tc>
          <w:tcPr>
            <w:tcW w:w="960" w:type="dxa"/>
            <w:tcBorders>
              <w:top w:val="nil"/>
              <w:left w:val="nil"/>
              <w:bottom w:val="nil"/>
              <w:right w:val="nil"/>
            </w:tcBorders>
            <w:shd w:val="clear" w:color="auto" w:fill="auto"/>
            <w:noWrap/>
            <w:hideMark/>
          </w:tcPr>
          <w:p w14:paraId="64895A5E" w14:textId="0B75FDF6"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-1.86%</w:t>
            </w:r>
          </w:p>
        </w:tc>
        <w:tc>
          <w:tcPr>
            <w:tcW w:w="960" w:type="dxa"/>
            <w:tcBorders>
              <w:top w:val="nil"/>
              <w:left w:val="nil"/>
              <w:bottom w:val="nil"/>
              <w:right w:val="nil"/>
            </w:tcBorders>
            <w:shd w:val="clear" w:color="auto" w:fill="auto"/>
            <w:noWrap/>
            <w:hideMark/>
          </w:tcPr>
          <w:p w14:paraId="045CB134" w14:textId="37B8B119"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-1.02%</w:t>
            </w:r>
          </w:p>
        </w:tc>
      </w:tr>
      <w:tr w:rsidR="00FA456A" w:rsidRPr="00FA456A" w14:paraId="0771C9B9" w14:textId="77777777" w:rsidTr="00787AA0">
        <w:trPr>
          <w:trHeight w:val="300"/>
        </w:trPr>
        <w:tc>
          <w:tcPr>
            <w:tcW w:w="960" w:type="dxa"/>
            <w:tcBorders>
              <w:top w:val="nil"/>
              <w:left w:val="nil"/>
              <w:bottom w:val="nil"/>
              <w:right w:val="nil"/>
            </w:tcBorders>
            <w:shd w:val="clear" w:color="auto" w:fill="E7E6E6" w:themeFill="background2"/>
            <w:noWrap/>
            <w:vAlign w:val="bottom"/>
          </w:tcPr>
          <w:p w14:paraId="64C07D52"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p>
        </w:tc>
        <w:tc>
          <w:tcPr>
            <w:tcW w:w="1314" w:type="dxa"/>
            <w:tcBorders>
              <w:top w:val="nil"/>
              <w:left w:val="nil"/>
              <w:bottom w:val="nil"/>
              <w:right w:val="nil"/>
            </w:tcBorders>
            <w:shd w:val="clear" w:color="auto" w:fill="auto"/>
            <w:noWrap/>
            <w:vAlign w:val="bottom"/>
            <w:hideMark/>
          </w:tcPr>
          <w:p w14:paraId="4794A6B4"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r w:rsidRPr="00AB33FF">
              <w:rPr>
                <w:rFonts w:ascii="Times New Roman" w:eastAsia="Times New Roman" w:hAnsi="Times New Roman" w:cs="Times New Roman"/>
                <w:color w:val="000000"/>
                <w:sz w:val="20"/>
                <w:szCs w:val="20"/>
                <w:lang w:eastAsia="de-DE"/>
              </w:rPr>
              <w:t>2020-2021</w:t>
            </w:r>
          </w:p>
        </w:tc>
        <w:tc>
          <w:tcPr>
            <w:tcW w:w="1087" w:type="dxa"/>
            <w:tcBorders>
              <w:top w:val="nil"/>
              <w:left w:val="nil"/>
              <w:bottom w:val="nil"/>
              <w:right w:val="nil"/>
            </w:tcBorders>
            <w:shd w:val="clear" w:color="auto" w:fill="auto"/>
            <w:noWrap/>
            <w:hideMark/>
          </w:tcPr>
          <w:p w14:paraId="2CCC2128" w14:textId="0CA8EC40"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-2.40%</w:t>
            </w:r>
          </w:p>
        </w:tc>
        <w:tc>
          <w:tcPr>
            <w:tcW w:w="960" w:type="dxa"/>
            <w:tcBorders>
              <w:top w:val="nil"/>
              <w:left w:val="nil"/>
              <w:bottom w:val="nil"/>
              <w:right w:val="nil"/>
            </w:tcBorders>
            <w:shd w:val="clear" w:color="auto" w:fill="auto"/>
            <w:noWrap/>
            <w:hideMark/>
          </w:tcPr>
          <w:p w14:paraId="2E20C63C" w14:textId="7E6DE478"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0.08%</w:t>
            </w:r>
          </w:p>
        </w:tc>
        <w:tc>
          <w:tcPr>
            <w:tcW w:w="960" w:type="dxa"/>
            <w:tcBorders>
              <w:top w:val="nil"/>
              <w:left w:val="nil"/>
              <w:bottom w:val="nil"/>
              <w:right w:val="nil"/>
            </w:tcBorders>
            <w:shd w:val="clear" w:color="auto" w:fill="auto"/>
            <w:noWrap/>
            <w:hideMark/>
          </w:tcPr>
          <w:p w14:paraId="3A61C94F" w14:textId="0EDD8735"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-0.61%</w:t>
            </w:r>
          </w:p>
        </w:tc>
        <w:tc>
          <w:tcPr>
            <w:tcW w:w="960" w:type="dxa"/>
            <w:tcBorders>
              <w:top w:val="nil"/>
              <w:left w:val="nil"/>
              <w:bottom w:val="nil"/>
              <w:right w:val="nil"/>
            </w:tcBorders>
            <w:shd w:val="clear" w:color="auto" w:fill="auto"/>
            <w:noWrap/>
            <w:hideMark/>
          </w:tcPr>
          <w:p w14:paraId="5474A98C" w14:textId="773AE0D5"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-1.42%</w:t>
            </w:r>
          </w:p>
        </w:tc>
        <w:tc>
          <w:tcPr>
            <w:tcW w:w="960" w:type="dxa"/>
            <w:tcBorders>
              <w:top w:val="nil"/>
              <w:left w:val="nil"/>
              <w:bottom w:val="nil"/>
              <w:right w:val="nil"/>
            </w:tcBorders>
            <w:shd w:val="clear" w:color="auto" w:fill="auto"/>
            <w:noWrap/>
            <w:hideMark/>
          </w:tcPr>
          <w:p w14:paraId="1A995580" w14:textId="55DCF3BF"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-0.71%</w:t>
            </w:r>
          </w:p>
        </w:tc>
      </w:tr>
      <w:tr w:rsidR="00AB2E28" w:rsidRPr="00FA456A" w14:paraId="3BF86DA9" w14:textId="77777777" w:rsidTr="00643C08">
        <w:trPr>
          <w:trHeight w:val="300"/>
        </w:trPr>
        <w:tc>
          <w:tcPr>
            <w:tcW w:w="960" w:type="dxa"/>
            <w:tcBorders>
              <w:top w:val="nil"/>
              <w:left w:val="nil"/>
              <w:right w:val="nil"/>
            </w:tcBorders>
            <w:shd w:val="clear" w:color="auto" w:fill="E7E6E6" w:themeFill="background2"/>
            <w:noWrap/>
            <w:vAlign w:val="bottom"/>
          </w:tcPr>
          <w:p w14:paraId="335476DB" w14:textId="77777777" w:rsidR="00AB2E28" w:rsidRPr="00AB33FF" w:rsidRDefault="00AB2E28" w:rsidP="00AB2E28">
            <w:pPr>
              <w:spacing w:after="0" w:line="360" w:lineRule="auto"/>
              <w:rPr>
                <w:rFonts w:ascii="Times New Roman" w:eastAsia="Times New Roman" w:hAnsi="Times New Roman" w:cs="Times New Roman"/>
                <w:color w:val="000000"/>
                <w:sz w:val="20"/>
                <w:szCs w:val="20"/>
                <w:lang w:eastAsia="de-DE"/>
              </w:rPr>
            </w:pPr>
          </w:p>
        </w:tc>
        <w:tc>
          <w:tcPr>
            <w:tcW w:w="1314" w:type="dxa"/>
            <w:tcBorders>
              <w:top w:val="nil"/>
              <w:left w:val="nil"/>
              <w:right w:val="nil"/>
            </w:tcBorders>
            <w:shd w:val="clear" w:color="000000" w:fill="F2F2F2"/>
            <w:noWrap/>
            <w:vAlign w:val="bottom"/>
            <w:hideMark/>
          </w:tcPr>
          <w:p w14:paraId="4A606F52" w14:textId="77777777" w:rsidR="00AB2E28" w:rsidRPr="00AB33FF" w:rsidRDefault="00AB2E28" w:rsidP="00AB2E28">
            <w:pPr>
              <w:spacing w:after="0" w:line="360" w:lineRule="auto"/>
              <w:rPr>
                <w:rFonts w:ascii="Times New Roman" w:eastAsia="Times New Roman" w:hAnsi="Times New Roman" w:cs="Times New Roman"/>
                <w:color w:val="000000"/>
                <w:sz w:val="20"/>
                <w:szCs w:val="20"/>
                <w:lang w:eastAsia="de-DE"/>
              </w:rPr>
            </w:pPr>
            <w:r w:rsidRPr="00AB33FF">
              <w:rPr>
                <w:rFonts w:ascii="Times New Roman" w:eastAsia="Times New Roman" w:hAnsi="Times New Roman" w:cs="Times New Roman"/>
                <w:color w:val="000000"/>
                <w:sz w:val="20"/>
                <w:szCs w:val="20"/>
                <w:lang w:eastAsia="de-DE"/>
              </w:rPr>
              <w:t>1998-2021</w:t>
            </w:r>
          </w:p>
        </w:tc>
        <w:tc>
          <w:tcPr>
            <w:tcW w:w="1087" w:type="dxa"/>
            <w:tcBorders>
              <w:top w:val="nil"/>
              <w:left w:val="nil"/>
              <w:right w:val="nil"/>
            </w:tcBorders>
            <w:shd w:val="clear" w:color="000000" w:fill="F2F2F2"/>
            <w:noWrap/>
            <w:hideMark/>
          </w:tcPr>
          <w:p w14:paraId="709B8CBB" w14:textId="4F8A7B00" w:rsidR="00AB2E28" w:rsidRPr="00AB33FF" w:rsidRDefault="00AB2E28" w:rsidP="00AB2E28">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-1.12%</w:t>
            </w:r>
          </w:p>
        </w:tc>
        <w:tc>
          <w:tcPr>
            <w:tcW w:w="960" w:type="dxa"/>
            <w:tcBorders>
              <w:top w:val="nil"/>
              <w:left w:val="nil"/>
              <w:right w:val="nil"/>
            </w:tcBorders>
            <w:shd w:val="clear" w:color="000000" w:fill="F2F2F2"/>
            <w:noWrap/>
            <w:hideMark/>
          </w:tcPr>
          <w:p w14:paraId="1A72CA03" w14:textId="4C18F778" w:rsidR="00AB2E28" w:rsidRPr="00AB33FF" w:rsidRDefault="00AB2E28" w:rsidP="00AB2E28">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0.06%</w:t>
            </w:r>
          </w:p>
        </w:tc>
        <w:tc>
          <w:tcPr>
            <w:tcW w:w="960" w:type="dxa"/>
            <w:tcBorders>
              <w:top w:val="nil"/>
              <w:left w:val="nil"/>
              <w:right w:val="nil"/>
            </w:tcBorders>
            <w:shd w:val="clear" w:color="000000" w:fill="F2F2F2"/>
            <w:noWrap/>
            <w:hideMark/>
          </w:tcPr>
          <w:p w14:paraId="40BC941B" w14:textId="7E4016E0" w:rsidR="00AB2E28" w:rsidRPr="00AB33FF" w:rsidRDefault="00AB2E28" w:rsidP="00AB2E28">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1.24%</w:t>
            </w:r>
          </w:p>
        </w:tc>
        <w:tc>
          <w:tcPr>
            <w:tcW w:w="960" w:type="dxa"/>
            <w:tcBorders>
              <w:top w:val="nil"/>
              <w:left w:val="nil"/>
              <w:right w:val="nil"/>
            </w:tcBorders>
            <w:shd w:val="clear" w:color="000000" w:fill="F2F2F2"/>
            <w:noWrap/>
            <w:hideMark/>
          </w:tcPr>
          <w:p w14:paraId="1D8AA06F" w14:textId="3D40083D" w:rsidR="00AB2E28" w:rsidRPr="00AB33FF" w:rsidRDefault="00AB2E28" w:rsidP="00AB2E28">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-1.37%</w:t>
            </w:r>
          </w:p>
        </w:tc>
        <w:tc>
          <w:tcPr>
            <w:tcW w:w="960" w:type="dxa"/>
            <w:tcBorders>
              <w:top w:val="nil"/>
              <w:left w:val="nil"/>
              <w:right w:val="nil"/>
            </w:tcBorders>
            <w:shd w:val="clear" w:color="000000" w:fill="F2F2F2"/>
            <w:noWrap/>
            <w:hideMark/>
          </w:tcPr>
          <w:p w14:paraId="6A3986E2" w14:textId="0C2E5131" w:rsidR="00AB2E28" w:rsidRPr="00AB33FF" w:rsidRDefault="00AB2E28" w:rsidP="00AB2E28">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-0.72%</w:t>
            </w:r>
          </w:p>
        </w:tc>
      </w:tr>
      <w:tr w:rsidR="00FA456A" w:rsidRPr="00FA456A" w14:paraId="30C851C0" w14:textId="77777777" w:rsidTr="00787AA0">
        <w:trPr>
          <w:trHeight w:val="300"/>
        </w:trPr>
        <w:tc>
          <w:tcPr>
            <w:tcW w:w="960" w:type="dxa"/>
            <w:tcBorders>
              <w:top w:val="single" w:sz="4" w:space="0" w:color="auto"/>
              <w:left w:val="nil"/>
              <w:bottom w:val="nil"/>
              <w:right w:val="nil"/>
            </w:tcBorders>
            <w:shd w:val="clear" w:color="auto" w:fill="E7E6E6" w:themeFill="background2"/>
            <w:noWrap/>
            <w:vAlign w:val="bottom"/>
          </w:tcPr>
          <w:p w14:paraId="4493B2E7"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p>
        </w:tc>
        <w:tc>
          <w:tcPr>
            <w:tcW w:w="1314" w:type="dxa"/>
            <w:tcBorders>
              <w:top w:val="single" w:sz="4" w:space="0" w:color="auto"/>
              <w:left w:val="nil"/>
              <w:bottom w:val="nil"/>
              <w:right w:val="nil"/>
            </w:tcBorders>
            <w:shd w:val="clear" w:color="auto" w:fill="auto"/>
            <w:noWrap/>
            <w:vAlign w:val="bottom"/>
            <w:hideMark/>
          </w:tcPr>
          <w:p w14:paraId="71431ED5"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r w:rsidRPr="00AB33FF">
              <w:rPr>
                <w:rFonts w:ascii="Times New Roman" w:eastAsia="Times New Roman" w:hAnsi="Times New Roman" w:cs="Times New Roman"/>
                <w:color w:val="000000"/>
                <w:sz w:val="20"/>
                <w:szCs w:val="20"/>
                <w:lang w:eastAsia="de-DE"/>
              </w:rPr>
              <w:t>1998-2007</w:t>
            </w:r>
          </w:p>
        </w:tc>
        <w:tc>
          <w:tcPr>
            <w:tcW w:w="1087" w:type="dxa"/>
            <w:tcBorders>
              <w:top w:val="single" w:sz="4" w:space="0" w:color="auto"/>
              <w:left w:val="nil"/>
              <w:bottom w:val="nil"/>
              <w:right w:val="nil"/>
            </w:tcBorders>
            <w:shd w:val="clear" w:color="auto" w:fill="auto"/>
            <w:noWrap/>
            <w:hideMark/>
          </w:tcPr>
          <w:p w14:paraId="3702C631" w14:textId="273688D2"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3.77%</w:t>
            </w:r>
          </w:p>
        </w:tc>
        <w:tc>
          <w:tcPr>
            <w:tcW w:w="960" w:type="dxa"/>
            <w:tcBorders>
              <w:top w:val="single" w:sz="4" w:space="0" w:color="auto"/>
              <w:left w:val="nil"/>
              <w:bottom w:val="nil"/>
              <w:right w:val="nil"/>
            </w:tcBorders>
            <w:shd w:val="clear" w:color="auto" w:fill="auto"/>
            <w:noWrap/>
            <w:hideMark/>
          </w:tcPr>
          <w:p w14:paraId="007A268A" w14:textId="0F3D7BF2"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1.15%</w:t>
            </w:r>
          </w:p>
        </w:tc>
        <w:tc>
          <w:tcPr>
            <w:tcW w:w="960" w:type="dxa"/>
            <w:tcBorders>
              <w:top w:val="single" w:sz="4" w:space="0" w:color="auto"/>
              <w:left w:val="nil"/>
              <w:bottom w:val="nil"/>
              <w:right w:val="nil"/>
            </w:tcBorders>
            <w:shd w:val="clear" w:color="auto" w:fill="auto"/>
            <w:noWrap/>
            <w:hideMark/>
          </w:tcPr>
          <w:p w14:paraId="69251C5A" w14:textId="5F6DA9F7"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2.66%</w:t>
            </w:r>
          </w:p>
        </w:tc>
        <w:tc>
          <w:tcPr>
            <w:tcW w:w="960" w:type="dxa"/>
            <w:tcBorders>
              <w:top w:val="single" w:sz="4" w:space="0" w:color="auto"/>
              <w:left w:val="nil"/>
              <w:bottom w:val="nil"/>
              <w:right w:val="nil"/>
            </w:tcBorders>
            <w:shd w:val="clear" w:color="auto" w:fill="auto"/>
            <w:noWrap/>
            <w:hideMark/>
          </w:tcPr>
          <w:p w14:paraId="4FBD8695" w14:textId="6050C5A7"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-0.50%</w:t>
            </w:r>
          </w:p>
        </w:tc>
        <w:tc>
          <w:tcPr>
            <w:tcW w:w="960" w:type="dxa"/>
            <w:tcBorders>
              <w:top w:val="single" w:sz="4" w:space="0" w:color="auto"/>
              <w:left w:val="nil"/>
              <w:bottom w:val="nil"/>
              <w:right w:val="nil"/>
            </w:tcBorders>
            <w:shd w:val="clear" w:color="auto" w:fill="auto"/>
            <w:noWrap/>
            <w:hideMark/>
          </w:tcPr>
          <w:p w14:paraId="34E0D7EC" w14:textId="562335B0"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0.48%</w:t>
            </w:r>
          </w:p>
        </w:tc>
      </w:tr>
      <w:tr w:rsidR="00FA456A" w:rsidRPr="00FA456A" w14:paraId="17D59AEB" w14:textId="77777777" w:rsidTr="00787AA0">
        <w:trPr>
          <w:trHeight w:val="300"/>
        </w:trPr>
        <w:tc>
          <w:tcPr>
            <w:tcW w:w="960" w:type="dxa"/>
            <w:tcBorders>
              <w:top w:val="nil"/>
              <w:left w:val="nil"/>
              <w:bottom w:val="nil"/>
              <w:right w:val="nil"/>
            </w:tcBorders>
            <w:shd w:val="clear" w:color="auto" w:fill="E7E6E6" w:themeFill="background2"/>
            <w:noWrap/>
            <w:vAlign w:val="bottom"/>
          </w:tcPr>
          <w:p w14:paraId="0FF50480"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p>
        </w:tc>
        <w:tc>
          <w:tcPr>
            <w:tcW w:w="1314" w:type="dxa"/>
            <w:tcBorders>
              <w:top w:val="nil"/>
              <w:left w:val="nil"/>
              <w:bottom w:val="nil"/>
              <w:right w:val="nil"/>
            </w:tcBorders>
            <w:shd w:val="clear" w:color="auto" w:fill="auto"/>
            <w:noWrap/>
            <w:vAlign w:val="bottom"/>
            <w:hideMark/>
          </w:tcPr>
          <w:p w14:paraId="45BA5C7F"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r w:rsidRPr="00AB33FF">
              <w:rPr>
                <w:rFonts w:ascii="Times New Roman" w:eastAsia="Times New Roman" w:hAnsi="Times New Roman" w:cs="Times New Roman"/>
                <w:color w:val="000000"/>
                <w:sz w:val="20"/>
                <w:szCs w:val="20"/>
                <w:lang w:eastAsia="de-DE"/>
              </w:rPr>
              <w:t>2008-2013</w:t>
            </w:r>
          </w:p>
        </w:tc>
        <w:tc>
          <w:tcPr>
            <w:tcW w:w="1087" w:type="dxa"/>
            <w:tcBorders>
              <w:top w:val="nil"/>
              <w:left w:val="nil"/>
              <w:bottom w:val="nil"/>
              <w:right w:val="nil"/>
            </w:tcBorders>
            <w:shd w:val="clear" w:color="auto" w:fill="auto"/>
            <w:noWrap/>
            <w:hideMark/>
          </w:tcPr>
          <w:p w14:paraId="197B3E3E" w14:textId="7521BBE9"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-5.17%</w:t>
            </w:r>
          </w:p>
        </w:tc>
        <w:tc>
          <w:tcPr>
            <w:tcW w:w="960" w:type="dxa"/>
            <w:tcBorders>
              <w:top w:val="nil"/>
              <w:left w:val="nil"/>
              <w:bottom w:val="nil"/>
              <w:right w:val="nil"/>
            </w:tcBorders>
            <w:shd w:val="clear" w:color="auto" w:fill="auto"/>
            <w:noWrap/>
            <w:hideMark/>
          </w:tcPr>
          <w:p w14:paraId="280F9CA7" w14:textId="7B74B03B"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0.71%</w:t>
            </w:r>
          </w:p>
        </w:tc>
        <w:tc>
          <w:tcPr>
            <w:tcW w:w="960" w:type="dxa"/>
            <w:tcBorders>
              <w:top w:val="nil"/>
              <w:left w:val="nil"/>
              <w:bottom w:val="nil"/>
              <w:right w:val="nil"/>
            </w:tcBorders>
            <w:shd w:val="clear" w:color="auto" w:fill="auto"/>
            <w:noWrap/>
            <w:hideMark/>
          </w:tcPr>
          <w:p w14:paraId="79F97B1F" w14:textId="14C32795"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-2.01%</w:t>
            </w:r>
          </w:p>
        </w:tc>
        <w:tc>
          <w:tcPr>
            <w:tcW w:w="960" w:type="dxa"/>
            <w:tcBorders>
              <w:top w:val="nil"/>
              <w:left w:val="nil"/>
              <w:bottom w:val="nil"/>
              <w:right w:val="nil"/>
            </w:tcBorders>
            <w:shd w:val="clear" w:color="auto" w:fill="auto"/>
            <w:noWrap/>
            <w:hideMark/>
          </w:tcPr>
          <w:p w14:paraId="72F546E6" w14:textId="25B5416B"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-1.16%</w:t>
            </w:r>
          </w:p>
        </w:tc>
        <w:tc>
          <w:tcPr>
            <w:tcW w:w="960" w:type="dxa"/>
            <w:tcBorders>
              <w:top w:val="nil"/>
              <w:left w:val="nil"/>
              <w:bottom w:val="nil"/>
              <w:right w:val="nil"/>
            </w:tcBorders>
            <w:shd w:val="clear" w:color="auto" w:fill="auto"/>
            <w:noWrap/>
            <w:hideMark/>
          </w:tcPr>
          <w:p w14:paraId="46ADE276" w14:textId="28F820DE"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-2.78%</w:t>
            </w:r>
          </w:p>
        </w:tc>
      </w:tr>
      <w:tr w:rsidR="00FA456A" w:rsidRPr="00FA456A" w14:paraId="0EB7307D" w14:textId="77777777" w:rsidTr="00787AA0">
        <w:trPr>
          <w:trHeight w:val="300"/>
        </w:trPr>
        <w:tc>
          <w:tcPr>
            <w:tcW w:w="960" w:type="dxa"/>
            <w:tcBorders>
              <w:top w:val="nil"/>
              <w:left w:val="nil"/>
              <w:bottom w:val="nil"/>
              <w:right w:val="nil"/>
            </w:tcBorders>
            <w:shd w:val="clear" w:color="auto" w:fill="E7E6E6" w:themeFill="background2"/>
            <w:noWrap/>
            <w:vAlign w:val="bottom"/>
            <w:hideMark/>
          </w:tcPr>
          <w:p w14:paraId="78A4D8DF"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r w:rsidRPr="00AB33FF">
              <w:rPr>
                <w:rFonts w:ascii="Times New Roman" w:eastAsia="Times New Roman" w:hAnsi="Times New Roman" w:cs="Times New Roman"/>
                <w:color w:val="000000"/>
                <w:sz w:val="20"/>
                <w:szCs w:val="20"/>
                <w:lang w:eastAsia="de-DE"/>
              </w:rPr>
              <w:t>Spain</w:t>
            </w:r>
          </w:p>
        </w:tc>
        <w:tc>
          <w:tcPr>
            <w:tcW w:w="1314" w:type="dxa"/>
            <w:tcBorders>
              <w:top w:val="nil"/>
              <w:left w:val="nil"/>
              <w:bottom w:val="nil"/>
              <w:right w:val="nil"/>
            </w:tcBorders>
            <w:shd w:val="clear" w:color="auto" w:fill="auto"/>
            <w:noWrap/>
            <w:vAlign w:val="bottom"/>
            <w:hideMark/>
          </w:tcPr>
          <w:p w14:paraId="6720E95B"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r w:rsidRPr="00AB33FF">
              <w:rPr>
                <w:rFonts w:ascii="Times New Roman" w:eastAsia="Times New Roman" w:hAnsi="Times New Roman" w:cs="Times New Roman"/>
                <w:color w:val="000000"/>
                <w:sz w:val="20"/>
                <w:szCs w:val="20"/>
                <w:lang w:eastAsia="de-DE"/>
              </w:rPr>
              <w:t>2014-2019</w:t>
            </w:r>
          </w:p>
        </w:tc>
        <w:tc>
          <w:tcPr>
            <w:tcW w:w="1087" w:type="dxa"/>
            <w:tcBorders>
              <w:top w:val="nil"/>
              <w:left w:val="nil"/>
              <w:bottom w:val="nil"/>
              <w:right w:val="nil"/>
            </w:tcBorders>
            <w:shd w:val="clear" w:color="auto" w:fill="auto"/>
            <w:noWrap/>
            <w:hideMark/>
          </w:tcPr>
          <w:p w14:paraId="74A53C1F" w14:textId="0DFC30A1"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0.20%</w:t>
            </w:r>
          </w:p>
        </w:tc>
        <w:tc>
          <w:tcPr>
            <w:tcW w:w="960" w:type="dxa"/>
            <w:tcBorders>
              <w:top w:val="nil"/>
              <w:left w:val="nil"/>
              <w:bottom w:val="nil"/>
              <w:right w:val="nil"/>
            </w:tcBorders>
            <w:shd w:val="clear" w:color="auto" w:fill="auto"/>
            <w:noWrap/>
            <w:hideMark/>
          </w:tcPr>
          <w:p w14:paraId="020058F7" w14:textId="69088FE4"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0.08%</w:t>
            </w:r>
          </w:p>
        </w:tc>
        <w:tc>
          <w:tcPr>
            <w:tcW w:w="960" w:type="dxa"/>
            <w:tcBorders>
              <w:top w:val="nil"/>
              <w:left w:val="nil"/>
              <w:bottom w:val="nil"/>
              <w:right w:val="nil"/>
            </w:tcBorders>
            <w:shd w:val="clear" w:color="auto" w:fill="auto"/>
            <w:noWrap/>
            <w:hideMark/>
          </w:tcPr>
          <w:p w14:paraId="6261BE31" w14:textId="753A11F2"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2.51%</w:t>
            </w:r>
          </w:p>
        </w:tc>
        <w:tc>
          <w:tcPr>
            <w:tcW w:w="960" w:type="dxa"/>
            <w:tcBorders>
              <w:top w:val="nil"/>
              <w:left w:val="nil"/>
              <w:bottom w:val="nil"/>
              <w:right w:val="nil"/>
            </w:tcBorders>
            <w:shd w:val="clear" w:color="auto" w:fill="auto"/>
            <w:noWrap/>
            <w:hideMark/>
          </w:tcPr>
          <w:p w14:paraId="5ACA3C10" w14:textId="64D73632"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-2.45%</w:t>
            </w:r>
          </w:p>
        </w:tc>
        <w:tc>
          <w:tcPr>
            <w:tcW w:w="960" w:type="dxa"/>
            <w:tcBorders>
              <w:top w:val="nil"/>
              <w:left w:val="nil"/>
              <w:bottom w:val="nil"/>
              <w:right w:val="nil"/>
            </w:tcBorders>
            <w:shd w:val="clear" w:color="auto" w:fill="auto"/>
            <w:noWrap/>
            <w:hideMark/>
          </w:tcPr>
          <w:p w14:paraId="1B6F0FA0" w14:textId="5551BCBE"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0.11%</w:t>
            </w:r>
          </w:p>
        </w:tc>
      </w:tr>
      <w:tr w:rsidR="00FA456A" w:rsidRPr="00FA456A" w14:paraId="5B30826A" w14:textId="77777777" w:rsidTr="00787AA0">
        <w:trPr>
          <w:trHeight w:val="300"/>
        </w:trPr>
        <w:tc>
          <w:tcPr>
            <w:tcW w:w="960" w:type="dxa"/>
            <w:tcBorders>
              <w:top w:val="nil"/>
              <w:left w:val="nil"/>
              <w:right w:val="nil"/>
            </w:tcBorders>
            <w:shd w:val="clear" w:color="auto" w:fill="E7E6E6" w:themeFill="background2"/>
            <w:noWrap/>
            <w:vAlign w:val="bottom"/>
          </w:tcPr>
          <w:p w14:paraId="24CBEA34"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p>
        </w:tc>
        <w:tc>
          <w:tcPr>
            <w:tcW w:w="1314" w:type="dxa"/>
            <w:tcBorders>
              <w:top w:val="nil"/>
              <w:left w:val="nil"/>
              <w:right w:val="nil"/>
            </w:tcBorders>
            <w:shd w:val="clear" w:color="auto" w:fill="auto"/>
            <w:noWrap/>
            <w:vAlign w:val="bottom"/>
            <w:hideMark/>
          </w:tcPr>
          <w:p w14:paraId="3DE4889C" w14:textId="77777777" w:rsidR="00FA456A" w:rsidRPr="00AB33FF" w:rsidRDefault="00FA456A" w:rsidP="00FA456A">
            <w:pPr>
              <w:spacing w:after="0" w:line="360" w:lineRule="auto"/>
              <w:rPr>
                <w:rFonts w:ascii="Times New Roman" w:eastAsia="Times New Roman" w:hAnsi="Times New Roman" w:cs="Times New Roman"/>
                <w:color w:val="000000"/>
                <w:sz w:val="20"/>
                <w:szCs w:val="20"/>
                <w:lang w:eastAsia="de-DE"/>
              </w:rPr>
            </w:pPr>
            <w:r w:rsidRPr="00AB33FF">
              <w:rPr>
                <w:rFonts w:ascii="Times New Roman" w:eastAsia="Times New Roman" w:hAnsi="Times New Roman" w:cs="Times New Roman"/>
                <w:color w:val="000000"/>
                <w:sz w:val="20"/>
                <w:szCs w:val="20"/>
                <w:lang w:eastAsia="de-DE"/>
              </w:rPr>
              <w:t>2020-2021</w:t>
            </w:r>
          </w:p>
        </w:tc>
        <w:tc>
          <w:tcPr>
            <w:tcW w:w="1087" w:type="dxa"/>
            <w:tcBorders>
              <w:top w:val="nil"/>
              <w:left w:val="nil"/>
              <w:right w:val="nil"/>
            </w:tcBorders>
            <w:shd w:val="clear" w:color="auto" w:fill="auto"/>
            <w:noWrap/>
            <w:hideMark/>
          </w:tcPr>
          <w:p w14:paraId="03599999" w14:textId="36A29B72"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-5.03%</w:t>
            </w:r>
          </w:p>
        </w:tc>
        <w:tc>
          <w:tcPr>
            <w:tcW w:w="960" w:type="dxa"/>
            <w:tcBorders>
              <w:top w:val="nil"/>
              <w:left w:val="nil"/>
              <w:right w:val="nil"/>
            </w:tcBorders>
            <w:shd w:val="clear" w:color="auto" w:fill="auto"/>
            <w:noWrap/>
            <w:hideMark/>
          </w:tcPr>
          <w:p w14:paraId="1F663CA7" w14:textId="7D5A377B"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0.49%</w:t>
            </w:r>
          </w:p>
        </w:tc>
        <w:tc>
          <w:tcPr>
            <w:tcW w:w="960" w:type="dxa"/>
            <w:tcBorders>
              <w:top w:val="nil"/>
              <w:left w:val="nil"/>
              <w:right w:val="nil"/>
            </w:tcBorders>
            <w:shd w:val="clear" w:color="auto" w:fill="auto"/>
            <w:noWrap/>
            <w:hideMark/>
          </w:tcPr>
          <w:p w14:paraId="3031A3BE" w14:textId="2E4CE76D"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-3.35%</w:t>
            </w:r>
          </w:p>
        </w:tc>
        <w:tc>
          <w:tcPr>
            <w:tcW w:w="960" w:type="dxa"/>
            <w:tcBorders>
              <w:top w:val="nil"/>
              <w:left w:val="nil"/>
              <w:right w:val="nil"/>
            </w:tcBorders>
            <w:shd w:val="clear" w:color="auto" w:fill="auto"/>
            <w:noWrap/>
            <w:hideMark/>
          </w:tcPr>
          <w:p w14:paraId="7B637807" w14:textId="3EFAE1C5"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1.74%</w:t>
            </w:r>
          </w:p>
        </w:tc>
        <w:tc>
          <w:tcPr>
            <w:tcW w:w="960" w:type="dxa"/>
            <w:tcBorders>
              <w:top w:val="nil"/>
              <w:left w:val="nil"/>
              <w:right w:val="nil"/>
            </w:tcBorders>
            <w:shd w:val="clear" w:color="auto" w:fill="auto"/>
            <w:noWrap/>
            <w:hideMark/>
          </w:tcPr>
          <w:p w14:paraId="320093BD" w14:textId="4FBADC0B" w:rsidR="00FA456A" w:rsidRPr="00AB33FF" w:rsidRDefault="00FA456A" w:rsidP="00FA456A">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-4.38%</w:t>
            </w:r>
          </w:p>
        </w:tc>
      </w:tr>
      <w:tr w:rsidR="00AB2E28" w:rsidRPr="00D431D4" w14:paraId="213520EE" w14:textId="77777777" w:rsidTr="009A6B65">
        <w:trPr>
          <w:trHeight w:val="300"/>
        </w:trPr>
        <w:tc>
          <w:tcPr>
            <w:tcW w:w="960" w:type="dxa"/>
            <w:tcBorders>
              <w:top w:val="nil"/>
              <w:left w:val="nil"/>
              <w:bottom w:val="single" w:sz="4" w:space="0" w:color="auto"/>
              <w:right w:val="nil"/>
            </w:tcBorders>
            <w:shd w:val="clear" w:color="auto" w:fill="E7E6E6" w:themeFill="background2"/>
            <w:noWrap/>
            <w:vAlign w:val="bottom"/>
          </w:tcPr>
          <w:p w14:paraId="6F0804A8" w14:textId="77777777" w:rsidR="00AB2E28" w:rsidRPr="00AB33FF" w:rsidRDefault="00AB2E28" w:rsidP="00AB2E28">
            <w:pPr>
              <w:spacing w:after="0" w:line="360" w:lineRule="auto"/>
              <w:rPr>
                <w:rFonts w:ascii="Times New Roman" w:eastAsia="Times New Roman" w:hAnsi="Times New Roman" w:cs="Times New Roman"/>
                <w:color w:val="000000"/>
                <w:sz w:val="20"/>
                <w:szCs w:val="20"/>
                <w:lang w:eastAsia="de-DE"/>
              </w:rPr>
            </w:pPr>
          </w:p>
        </w:tc>
        <w:tc>
          <w:tcPr>
            <w:tcW w:w="1314" w:type="dxa"/>
            <w:tcBorders>
              <w:top w:val="nil"/>
              <w:left w:val="nil"/>
              <w:bottom w:val="single" w:sz="4" w:space="0" w:color="auto"/>
              <w:right w:val="nil"/>
            </w:tcBorders>
            <w:shd w:val="clear" w:color="000000" w:fill="F2F2F2"/>
            <w:noWrap/>
            <w:vAlign w:val="bottom"/>
            <w:hideMark/>
          </w:tcPr>
          <w:p w14:paraId="21A78D4E" w14:textId="77777777" w:rsidR="00AB2E28" w:rsidRPr="00AB33FF" w:rsidRDefault="00AB2E28" w:rsidP="00AB2E28">
            <w:pPr>
              <w:spacing w:after="0" w:line="360" w:lineRule="auto"/>
              <w:rPr>
                <w:rFonts w:ascii="Times New Roman" w:eastAsia="Times New Roman" w:hAnsi="Times New Roman" w:cs="Times New Roman"/>
                <w:color w:val="000000"/>
                <w:sz w:val="20"/>
                <w:szCs w:val="20"/>
                <w:lang w:eastAsia="de-DE"/>
              </w:rPr>
            </w:pPr>
            <w:r w:rsidRPr="00AB33FF">
              <w:rPr>
                <w:rFonts w:ascii="Times New Roman" w:eastAsia="Times New Roman" w:hAnsi="Times New Roman" w:cs="Times New Roman"/>
                <w:color w:val="000000"/>
                <w:sz w:val="20"/>
                <w:szCs w:val="20"/>
                <w:lang w:eastAsia="de-DE"/>
              </w:rPr>
              <w:t>1998-2021</w:t>
            </w:r>
          </w:p>
        </w:tc>
        <w:tc>
          <w:tcPr>
            <w:tcW w:w="1087" w:type="dxa"/>
            <w:tcBorders>
              <w:top w:val="nil"/>
              <w:left w:val="nil"/>
              <w:bottom w:val="single" w:sz="4" w:space="0" w:color="auto"/>
              <w:right w:val="nil"/>
            </w:tcBorders>
            <w:shd w:val="clear" w:color="000000" w:fill="F2F2F2"/>
            <w:noWrap/>
            <w:hideMark/>
          </w:tcPr>
          <w:p w14:paraId="33E4AEF2" w14:textId="00FFFDCA" w:rsidR="00AB2E28" w:rsidRPr="00AB33FF" w:rsidRDefault="00AB2E28" w:rsidP="00AB2E28">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-0.47%</w:t>
            </w:r>
          </w:p>
        </w:tc>
        <w:tc>
          <w:tcPr>
            <w:tcW w:w="960" w:type="dxa"/>
            <w:tcBorders>
              <w:top w:val="nil"/>
              <w:left w:val="nil"/>
              <w:bottom w:val="single" w:sz="4" w:space="0" w:color="auto"/>
              <w:right w:val="nil"/>
            </w:tcBorders>
            <w:shd w:val="clear" w:color="000000" w:fill="F2F2F2"/>
            <w:noWrap/>
            <w:hideMark/>
          </w:tcPr>
          <w:p w14:paraId="671849EF" w14:textId="65775A0C" w:rsidR="00AB2E28" w:rsidRPr="00AB33FF" w:rsidRDefault="00AB2E28" w:rsidP="00AB2E28">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0.75%</w:t>
            </w:r>
          </w:p>
        </w:tc>
        <w:tc>
          <w:tcPr>
            <w:tcW w:w="960" w:type="dxa"/>
            <w:tcBorders>
              <w:top w:val="nil"/>
              <w:left w:val="nil"/>
              <w:bottom w:val="single" w:sz="4" w:space="0" w:color="auto"/>
              <w:right w:val="nil"/>
            </w:tcBorders>
            <w:shd w:val="clear" w:color="000000" w:fill="F2F2F2"/>
            <w:noWrap/>
            <w:hideMark/>
          </w:tcPr>
          <w:p w14:paraId="29D955BA" w14:textId="0F347486" w:rsidR="00AB2E28" w:rsidRPr="00AB33FF" w:rsidRDefault="00AB2E28" w:rsidP="00AB2E28">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0.78%</w:t>
            </w:r>
          </w:p>
        </w:tc>
        <w:tc>
          <w:tcPr>
            <w:tcW w:w="960" w:type="dxa"/>
            <w:tcBorders>
              <w:top w:val="nil"/>
              <w:left w:val="nil"/>
              <w:bottom w:val="single" w:sz="4" w:space="0" w:color="auto"/>
              <w:right w:val="nil"/>
            </w:tcBorders>
            <w:shd w:val="clear" w:color="000000" w:fill="F2F2F2"/>
            <w:noWrap/>
            <w:hideMark/>
          </w:tcPr>
          <w:p w14:paraId="11BA9CBC" w14:textId="09F18709" w:rsidR="00AB2E28" w:rsidRPr="00AB33FF" w:rsidRDefault="00AB2E28" w:rsidP="00AB2E28">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-0.90%</w:t>
            </w:r>
          </w:p>
        </w:tc>
        <w:tc>
          <w:tcPr>
            <w:tcW w:w="960" w:type="dxa"/>
            <w:tcBorders>
              <w:top w:val="nil"/>
              <w:left w:val="nil"/>
              <w:bottom w:val="single" w:sz="4" w:space="0" w:color="auto"/>
              <w:right w:val="nil"/>
            </w:tcBorders>
            <w:shd w:val="clear" w:color="000000" w:fill="F2F2F2"/>
            <w:noWrap/>
            <w:hideMark/>
          </w:tcPr>
          <w:p w14:paraId="3F1B9BCF" w14:textId="5B93A07E" w:rsidR="00AB2E28" w:rsidRPr="00AB33FF" w:rsidRDefault="00AB2E28" w:rsidP="00AB2E28">
            <w:pPr>
              <w:spacing w:after="0" w:line="360" w:lineRule="auto"/>
              <w:jc w:val="right"/>
              <w:rPr>
                <w:rFonts w:ascii="Times New Roman" w:eastAsia="Times New Roman" w:hAnsi="Times New Roman" w:cs="Times New Roman"/>
                <w:color w:val="000000"/>
                <w:sz w:val="20"/>
                <w:szCs w:val="20"/>
                <w:lang w:eastAsia="de-DE"/>
              </w:rPr>
            </w:pPr>
            <w:r w:rsidRPr="00AB33FF">
              <w:rPr>
                <w:rFonts w:ascii="Times New Roman" w:hAnsi="Times New Roman" w:cs="Times New Roman"/>
                <w:sz w:val="20"/>
                <w:szCs w:val="20"/>
              </w:rPr>
              <w:t>-0.81%</w:t>
            </w:r>
          </w:p>
        </w:tc>
      </w:tr>
    </w:tbl>
    <w:p w14:paraId="0E3CFDF1" w14:textId="5C28A6A1" w:rsidR="003C18AE" w:rsidRPr="000A5706" w:rsidRDefault="003C18AE" w:rsidP="003C18AE">
      <w:pPr>
        <w:pStyle w:val="Caption"/>
        <w:rPr>
          <w:rFonts w:ascii="Times New Roman" w:hAnsi="Times New Roman" w:cs="Times New Roman"/>
          <w:b/>
          <w:bCs/>
          <w:color w:val="auto"/>
          <w:sz w:val="20"/>
          <w:szCs w:val="20"/>
          <w:lang w:val="en-GB"/>
        </w:rPr>
      </w:pPr>
      <w:r w:rsidRPr="000A5706">
        <w:rPr>
          <w:rFonts w:ascii="Times New Roman" w:hAnsi="Times New Roman" w:cs="Times New Roman"/>
          <w:b/>
          <w:bCs/>
          <w:color w:val="auto"/>
          <w:sz w:val="20"/>
          <w:szCs w:val="20"/>
          <w:lang w:val="en-GB"/>
        </w:rPr>
        <w:t xml:space="preserve">Table </w:t>
      </w:r>
      <w:r w:rsidR="00F65E05">
        <w:rPr>
          <w:rFonts w:ascii="Times New Roman" w:hAnsi="Times New Roman" w:cs="Times New Roman"/>
          <w:b/>
          <w:bCs/>
          <w:color w:val="auto"/>
          <w:sz w:val="20"/>
          <w:szCs w:val="20"/>
          <w:lang w:val="en-GB"/>
        </w:rPr>
        <w:t>S</w:t>
      </w:r>
      <w:r w:rsidR="0094480F">
        <w:rPr>
          <w:rFonts w:ascii="Times New Roman" w:hAnsi="Times New Roman" w:cs="Times New Roman"/>
          <w:b/>
          <w:bCs/>
          <w:color w:val="auto"/>
          <w:sz w:val="20"/>
          <w:szCs w:val="20"/>
          <w:lang w:val="en-GB"/>
        </w:rPr>
        <w:t>M</w:t>
      </w:r>
      <w:r>
        <w:rPr>
          <w:rFonts w:ascii="Times New Roman" w:hAnsi="Times New Roman" w:cs="Times New Roman"/>
          <w:b/>
          <w:bCs/>
          <w:color w:val="auto"/>
          <w:sz w:val="20"/>
          <w:szCs w:val="20"/>
          <w:lang w:val="en-GB"/>
        </w:rPr>
        <w:t>2</w:t>
      </w:r>
      <w:r w:rsidRPr="000A5706">
        <w:rPr>
          <w:rFonts w:ascii="Times New Roman" w:hAnsi="Times New Roman" w:cs="Times New Roman"/>
          <w:b/>
          <w:bCs/>
          <w:color w:val="auto"/>
          <w:sz w:val="20"/>
          <w:szCs w:val="20"/>
          <w:lang w:val="en-GB"/>
        </w:rPr>
        <w:t>: Decomposition of total CO</w:t>
      </w:r>
      <w:r w:rsidRPr="000A5706">
        <w:rPr>
          <w:rFonts w:ascii="Times New Roman" w:hAnsi="Times New Roman" w:cs="Times New Roman"/>
          <w:b/>
          <w:bCs/>
          <w:color w:val="auto"/>
          <w:sz w:val="20"/>
          <w:szCs w:val="20"/>
          <w:vertAlign w:val="subscript"/>
          <w:lang w:val="en-GB"/>
        </w:rPr>
        <w:t>2</w:t>
      </w:r>
      <w:r w:rsidRPr="000A5706">
        <w:rPr>
          <w:rFonts w:ascii="Times New Roman" w:hAnsi="Times New Roman" w:cs="Times New Roman"/>
          <w:b/>
          <w:bCs/>
          <w:color w:val="auto"/>
          <w:sz w:val="20"/>
          <w:szCs w:val="20"/>
          <w:lang w:val="en-GB"/>
        </w:rPr>
        <w:t xml:space="preserve"> emissions, annual average growth rates 1998-2021. </w:t>
      </w:r>
      <w:r>
        <w:rPr>
          <w:rFonts w:ascii="Times New Roman" w:hAnsi="Times New Roman" w:cs="Times New Roman"/>
          <w:b/>
          <w:bCs/>
          <w:color w:val="auto"/>
          <w:sz w:val="20"/>
          <w:szCs w:val="20"/>
          <w:lang w:val="en-GB"/>
        </w:rPr>
        <w:t xml:space="preserve">                               </w:t>
      </w:r>
      <w:r w:rsidRPr="000A5706">
        <w:rPr>
          <w:rFonts w:ascii="Times New Roman" w:hAnsi="Times New Roman" w:cs="Times New Roman"/>
          <w:color w:val="auto"/>
          <w:sz w:val="20"/>
          <w:szCs w:val="20"/>
          <w:lang w:val="en-GB"/>
        </w:rPr>
        <w:t>P= Population,  A= Affluence, EI= energy intensity, CI= carbon intensity</w:t>
      </w:r>
      <w:r>
        <w:rPr>
          <w:rFonts w:ascii="Times New Roman" w:hAnsi="Times New Roman" w:cs="Times New Roman"/>
          <w:color w:val="auto"/>
          <w:sz w:val="20"/>
          <w:szCs w:val="20"/>
          <w:lang w:val="en-GB"/>
        </w:rPr>
        <w:t>. GFC in Germany: 2008-2009, GFC + euro crisis in Spain: 2008-2013.</w:t>
      </w:r>
      <w:r w:rsidRPr="000A5706">
        <w:rPr>
          <w:rFonts w:ascii="Times New Roman" w:hAnsi="Times New Roman" w:cs="Times New Roman"/>
          <w:color w:val="auto"/>
          <w:sz w:val="20"/>
          <w:szCs w:val="20"/>
          <w:lang w:val="en-GB"/>
        </w:rPr>
        <w:t xml:space="preserve"> Source: </w:t>
      </w:r>
      <w:r w:rsidR="00F65E05">
        <w:rPr>
          <w:rFonts w:ascii="Times New Roman" w:hAnsi="Times New Roman" w:cs="Times New Roman"/>
          <w:color w:val="auto"/>
          <w:sz w:val="20"/>
          <w:szCs w:val="20"/>
          <w:lang w:val="en-GB"/>
        </w:rPr>
        <w:fldChar w:fldCharType="begin"/>
      </w:r>
      <w:r w:rsidR="0028474D">
        <w:rPr>
          <w:rFonts w:ascii="Times New Roman" w:hAnsi="Times New Roman" w:cs="Times New Roman"/>
          <w:color w:val="auto"/>
          <w:sz w:val="20"/>
          <w:szCs w:val="20"/>
          <w:lang w:val="en-GB"/>
        </w:rPr>
        <w:instrText xml:space="preserve"> ADDIN EN.CITE &lt;EndNote&gt;&lt;Cite&gt;&lt;Author&gt;Energy Institute&lt;/Author&gt;&lt;Year&gt;2023&lt;/Year&gt;&lt;RecNum&gt;879&lt;/RecNum&gt;&lt;DisplayText&gt;(Energy Institute, 2023; Eurostat, 2022)&lt;/DisplayText&gt;&lt;record&gt;&lt;rec-number&gt;879&lt;/rec-number&gt;&lt;foreign-keys&gt;&lt;key app="EN" db-id="zap5wezzop9xpwe0awepz55lfafptea5pr2w" timestamp="1657176899"&gt;879&lt;/key&gt;&lt;/foreign-keys&gt;&lt;ref-type name="Dataset"&gt;59&lt;/ref-type&gt;&lt;contributors&gt;&lt;authors&gt;&lt;author&gt;Energy Institute,&lt;/author&gt;&lt;/authors&gt;&lt;/contributors&gt;&lt;titles&gt;&lt;title&gt;Energy Institute Statistical Review of World Energy&lt;/title&gt;&lt;/titles&gt;&lt;dates&gt;&lt;year&gt;2023&lt;/year&gt;&lt;/dates&gt;&lt;urls&gt;&lt;related-urls&gt;&lt;url&gt;https://www.energyinst.org/statistical-review&lt;/url&gt;&lt;/related-urls&gt;&lt;/urls&gt;&lt;/record&gt;&lt;/Cite&gt;&lt;Cite&gt;&lt;Author&gt;Eurostat&lt;/Author&gt;&lt;Year&gt;2022&lt;/Year&gt;&lt;RecNum&gt;851&lt;/RecNum&gt;&lt;record&gt;&lt;rec-number&gt;851&lt;/rec-number&gt;&lt;foreign-keys&gt;&lt;key app="EN" db-id="zap5wezzop9xpwe0awepz55lfafptea5pr2w" timestamp="1648041457"&gt;851&lt;/key&gt;&lt;/foreign-keys&gt;&lt;ref-type name="Dataset"&gt;59&lt;/ref-type&gt;&lt;contributors&gt;&lt;authors&gt;&lt;author&gt;Eurostat,&lt;/author&gt;&lt;/authors&gt;&lt;/contributors&gt;&lt;titles&gt;&lt;title&gt;Eurostat Database&lt;/title&gt;&lt;/titles&gt;&lt;dates&gt;&lt;year&gt;2022&lt;/year&gt;&lt;/dates&gt;&lt;isbn&gt;https://ec.europa.eu/eurostat/web/main/data/database&lt;/isbn&gt;&lt;urls&gt;&lt;/urls&gt;&lt;electronic-resource-num&gt;https://ec.europa.eu/eurostat/web/main/data/database&lt;/electronic-resource-num&gt;&lt;/record&gt;&lt;/Cite&gt;&lt;/EndNote&gt;</w:instrText>
      </w:r>
      <w:r w:rsidR="00F65E05">
        <w:rPr>
          <w:rFonts w:ascii="Times New Roman" w:hAnsi="Times New Roman" w:cs="Times New Roman"/>
          <w:color w:val="auto"/>
          <w:sz w:val="20"/>
          <w:szCs w:val="20"/>
          <w:lang w:val="en-GB"/>
        </w:rPr>
        <w:fldChar w:fldCharType="separate"/>
      </w:r>
      <w:r w:rsidR="0028474D">
        <w:rPr>
          <w:rFonts w:ascii="Times New Roman" w:hAnsi="Times New Roman" w:cs="Times New Roman"/>
          <w:noProof/>
          <w:color w:val="auto"/>
          <w:sz w:val="20"/>
          <w:szCs w:val="20"/>
          <w:lang w:val="en-GB"/>
        </w:rPr>
        <w:t>(Energy Institute, 2023; Eurostat, 2022)</w:t>
      </w:r>
      <w:r w:rsidR="00F65E05">
        <w:rPr>
          <w:rFonts w:ascii="Times New Roman" w:hAnsi="Times New Roman" w:cs="Times New Roman"/>
          <w:color w:val="auto"/>
          <w:sz w:val="20"/>
          <w:szCs w:val="20"/>
          <w:lang w:val="en-GB"/>
        </w:rPr>
        <w:fldChar w:fldCharType="end"/>
      </w:r>
      <w:r w:rsidR="00F65E05">
        <w:rPr>
          <w:rFonts w:ascii="Times New Roman" w:hAnsi="Times New Roman" w:cs="Times New Roman"/>
          <w:color w:val="auto"/>
          <w:sz w:val="20"/>
          <w:szCs w:val="20"/>
          <w:lang w:val="en-GB"/>
        </w:rPr>
        <w:t>.</w:t>
      </w:r>
    </w:p>
    <w:tbl>
      <w:tblPr>
        <w:tblW w:w="9047" w:type="dxa"/>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641"/>
        <w:gridCol w:w="890"/>
        <w:gridCol w:w="890"/>
        <w:gridCol w:w="890"/>
        <w:gridCol w:w="890"/>
        <w:gridCol w:w="890"/>
        <w:gridCol w:w="790"/>
        <w:gridCol w:w="783"/>
        <w:gridCol w:w="784"/>
        <w:gridCol w:w="784"/>
        <w:gridCol w:w="815"/>
      </w:tblGrid>
      <w:tr w:rsidR="00B37BAE" w:rsidRPr="00D67903" w14:paraId="7921AACA" w14:textId="77777777" w:rsidTr="005C6916">
        <w:trPr>
          <w:trHeight w:val="290"/>
        </w:trPr>
        <w:tc>
          <w:tcPr>
            <w:tcW w:w="641" w:type="dxa"/>
            <w:tcBorders>
              <w:top w:val="single" w:sz="4" w:space="0" w:color="auto"/>
              <w:left w:val="nil"/>
              <w:bottom w:val="nil"/>
            </w:tcBorders>
            <w:shd w:val="clear" w:color="auto" w:fill="auto"/>
            <w:noWrap/>
            <w:vAlign w:val="bottom"/>
          </w:tcPr>
          <w:p w14:paraId="179DCB07" w14:textId="77777777" w:rsidR="00B37BAE" w:rsidRPr="000E090D" w:rsidRDefault="00B37BAE" w:rsidP="005C6916">
            <w:pPr>
              <w:spacing w:after="0" w:line="240" w:lineRule="auto"/>
              <w:jc w:val="right"/>
              <w:rPr>
                <w:rFonts w:ascii="Times New Roman" w:eastAsia="Times New Roman" w:hAnsi="Times New Roman" w:cs="Times New Roman"/>
                <w:color w:val="000000"/>
                <w:sz w:val="20"/>
                <w:szCs w:val="20"/>
                <w:lang w:val="fr-FR" w:eastAsia="de-DE"/>
              </w:rPr>
            </w:pPr>
          </w:p>
        </w:tc>
        <w:tc>
          <w:tcPr>
            <w:tcW w:w="4450" w:type="dxa"/>
            <w:gridSpan w:val="5"/>
            <w:tcBorders>
              <w:top w:val="single" w:sz="4" w:space="0" w:color="auto"/>
              <w:bottom w:val="nil"/>
            </w:tcBorders>
            <w:shd w:val="clear" w:color="auto" w:fill="auto"/>
            <w:noWrap/>
            <w:vAlign w:val="bottom"/>
          </w:tcPr>
          <w:p w14:paraId="1B828CBC" w14:textId="77777777" w:rsidR="00B37BAE" w:rsidRPr="00D431D4" w:rsidRDefault="00B37BAE" w:rsidP="005C6916">
            <w:pPr>
              <w:spacing w:after="0" w:line="240" w:lineRule="auto"/>
              <w:jc w:val="center"/>
              <w:rPr>
                <w:rFonts w:ascii="Times New Roman" w:eastAsia="Times New Roman" w:hAnsi="Times New Roman" w:cs="Times New Roman"/>
                <w:b/>
                <w:bCs/>
                <w:color w:val="000000"/>
                <w:lang w:val="en-GB" w:eastAsia="de-DE"/>
              </w:rPr>
            </w:pPr>
            <w:r>
              <w:rPr>
                <w:rFonts w:ascii="Times New Roman" w:eastAsia="Times New Roman" w:hAnsi="Times New Roman" w:cs="Times New Roman"/>
                <w:b/>
                <w:bCs/>
                <w:color w:val="000000"/>
                <w:lang w:val="en-GB" w:eastAsia="de-DE"/>
              </w:rPr>
              <w:t>Spain</w:t>
            </w:r>
          </w:p>
        </w:tc>
        <w:tc>
          <w:tcPr>
            <w:tcW w:w="3956" w:type="dxa"/>
            <w:gridSpan w:val="5"/>
            <w:tcBorders>
              <w:top w:val="single" w:sz="4" w:space="0" w:color="auto"/>
              <w:bottom w:val="nil"/>
              <w:right w:val="nil"/>
            </w:tcBorders>
            <w:vAlign w:val="bottom"/>
          </w:tcPr>
          <w:p w14:paraId="7A5DBCD2" w14:textId="77777777" w:rsidR="00B37BAE" w:rsidRPr="00D431D4" w:rsidRDefault="00B37BAE" w:rsidP="005C6916">
            <w:pPr>
              <w:spacing w:after="0" w:line="240" w:lineRule="auto"/>
              <w:jc w:val="center"/>
              <w:rPr>
                <w:rFonts w:ascii="Times New Roman" w:eastAsia="Times New Roman" w:hAnsi="Times New Roman" w:cs="Times New Roman"/>
                <w:b/>
                <w:bCs/>
                <w:color w:val="000000"/>
                <w:lang w:val="en-GB" w:eastAsia="de-DE"/>
              </w:rPr>
            </w:pPr>
            <w:r>
              <w:rPr>
                <w:rFonts w:ascii="Times New Roman" w:eastAsia="Times New Roman" w:hAnsi="Times New Roman" w:cs="Times New Roman"/>
                <w:b/>
                <w:bCs/>
                <w:color w:val="000000"/>
                <w:lang w:val="en-GB" w:eastAsia="de-DE"/>
              </w:rPr>
              <w:t>Germany</w:t>
            </w:r>
          </w:p>
        </w:tc>
      </w:tr>
      <w:tr w:rsidR="00B37BAE" w:rsidRPr="00D67903" w14:paraId="5470A393" w14:textId="77777777" w:rsidTr="005C6916">
        <w:trPr>
          <w:trHeight w:val="290"/>
        </w:trPr>
        <w:tc>
          <w:tcPr>
            <w:tcW w:w="641" w:type="dxa"/>
            <w:tcBorders>
              <w:top w:val="nil"/>
              <w:left w:val="nil"/>
              <w:bottom w:val="single" w:sz="4" w:space="0" w:color="auto"/>
            </w:tcBorders>
            <w:shd w:val="clear" w:color="auto" w:fill="auto"/>
            <w:noWrap/>
            <w:vAlign w:val="bottom"/>
          </w:tcPr>
          <w:p w14:paraId="1BA1F3CE" w14:textId="77777777" w:rsidR="00B37BAE" w:rsidRPr="00D67903" w:rsidRDefault="00B37BAE" w:rsidP="005C6916">
            <w:pPr>
              <w:spacing w:after="0" w:line="240" w:lineRule="auto"/>
              <w:jc w:val="right"/>
              <w:rPr>
                <w:rFonts w:ascii="Times New Roman" w:eastAsia="Times New Roman" w:hAnsi="Times New Roman" w:cs="Times New Roman"/>
                <w:color w:val="000000"/>
                <w:sz w:val="20"/>
                <w:szCs w:val="20"/>
                <w:lang w:eastAsia="de-DE"/>
              </w:rPr>
            </w:pPr>
          </w:p>
        </w:tc>
        <w:tc>
          <w:tcPr>
            <w:tcW w:w="890" w:type="dxa"/>
            <w:tcBorders>
              <w:top w:val="nil"/>
              <w:bottom w:val="single" w:sz="4" w:space="0" w:color="auto"/>
            </w:tcBorders>
            <w:shd w:val="clear" w:color="auto" w:fill="E7E6E6" w:themeFill="background2"/>
            <w:noWrap/>
            <w:vAlign w:val="bottom"/>
          </w:tcPr>
          <w:p w14:paraId="2F12F962" w14:textId="77777777" w:rsidR="00B37BAE" w:rsidRPr="00D67903" w:rsidRDefault="00B37BAE" w:rsidP="005C6916">
            <w:pPr>
              <w:spacing w:after="0" w:line="240" w:lineRule="auto"/>
              <w:jc w:val="center"/>
              <w:rPr>
                <w:rFonts w:ascii="Times New Roman" w:eastAsia="Times New Roman" w:hAnsi="Times New Roman" w:cs="Times New Roman"/>
                <w:color w:val="000000"/>
                <w:sz w:val="20"/>
                <w:szCs w:val="20"/>
                <w:lang w:eastAsia="de-DE"/>
              </w:rPr>
            </w:pPr>
            <w:r w:rsidRPr="00D431D4">
              <w:rPr>
                <w:rFonts w:ascii="Times New Roman" w:eastAsia="Times New Roman" w:hAnsi="Times New Roman" w:cs="Times New Roman"/>
                <w:b/>
                <w:bCs/>
                <w:color w:val="000000"/>
                <w:lang w:val="en-GB" w:eastAsia="de-DE"/>
              </w:rPr>
              <w:t>ΔCO</w:t>
            </w:r>
            <w:r w:rsidRPr="00D431D4">
              <w:rPr>
                <w:rFonts w:ascii="Times New Roman" w:eastAsia="Times New Roman" w:hAnsi="Times New Roman" w:cs="Times New Roman"/>
                <w:b/>
                <w:bCs/>
                <w:color w:val="000000"/>
                <w:vertAlign w:val="subscript"/>
                <w:lang w:val="en-GB" w:eastAsia="de-DE"/>
              </w:rPr>
              <w:t>2</w:t>
            </w:r>
          </w:p>
        </w:tc>
        <w:tc>
          <w:tcPr>
            <w:tcW w:w="890" w:type="dxa"/>
            <w:tcBorders>
              <w:top w:val="nil"/>
              <w:bottom w:val="single" w:sz="4" w:space="0" w:color="auto"/>
            </w:tcBorders>
            <w:shd w:val="clear" w:color="auto" w:fill="auto"/>
            <w:noWrap/>
            <w:vAlign w:val="bottom"/>
          </w:tcPr>
          <w:p w14:paraId="05F5EC63" w14:textId="77777777" w:rsidR="00B37BAE" w:rsidRPr="00D67903" w:rsidRDefault="00B37BAE" w:rsidP="005C6916">
            <w:pPr>
              <w:spacing w:after="0" w:line="240" w:lineRule="auto"/>
              <w:jc w:val="center"/>
              <w:rPr>
                <w:rFonts w:ascii="Times New Roman" w:eastAsia="Times New Roman" w:hAnsi="Times New Roman" w:cs="Times New Roman"/>
                <w:color w:val="000000"/>
                <w:sz w:val="20"/>
                <w:szCs w:val="20"/>
                <w:lang w:eastAsia="de-DE"/>
              </w:rPr>
            </w:pPr>
            <w:r w:rsidRPr="00D431D4">
              <w:rPr>
                <w:rFonts w:ascii="Times New Roman" w:eastAsia="Times New Roman" w:hAnsi="Times New Roman" w:cs="Times New Roman"/>
                <w:b/>
                <w:bCs/>
                <w:color w:val="000000"/>
                <w:lang w:val="en-GB" w:eastAsia="de-DE"/>
              </w:rPr>
              <w:t>ΔP</w:t>
            </w:r>
          </w:p>
        </w:tc>
        <w:tc>
          <w:tcPr>
            <w:tcW w:w="890" w:type="dxa"/>
            <w:tcBorders>
              <w:top w:val="nil"/>
              <w:bottom w:val="single" w:sz="4" w:space="0" w:color="auto"/>
            </w:tcBorders>
            <w:shd w:val="clear" w:color="auto" w:fill="auto"/>
            <w:noWrap/>
            <w:vAlign w:val="bottom"/>
          </w:tcPr>
          <w:p w14:paraId="467A45E4" w14:textId="77777777" w:rsidR="00B37BAE" w:rsidRPr="00D67903" w:rsidRDefault="00B37BAE" w:rsidP="005C6916">
            <w:pPr>
              <w:spacing w:after="0" w:line="240" w:lineRule="auto"/>
              <w:jc w:val="center"/>
              <w:rPr>
                <w:rFonts w:ascii="Times New Roman" w:eastAsia="Times New Roman" w:hAnsi="Times New Roman" w:cs="Times New Roman"/>
                <w:color w:val="000000"/>
                <w:sz w:val="20"/>
                <w:szCs w:val="20"/>
                <w:lang w:eastAsia="de-DE"/>
              </w:rPr>
            </w:pPr>
            <w:r w:rsidRPr="00D431D4">
              <w:rPr>
                <w:rFonts w:ascii="Times New Roman" w:eastAsia="Times New Roman" w:hAnsi="Times New Roman" w:cs="Times New Roman"/>
                <w:b/>
                <w:bCs/>
                <w:color w:val="000000"/>
                <w:lang w:val="en-GB" w:eastAsia="de-DE"/>
              </w:rPr>
              <w:t>ΔA</w:t>
            </w:r>
          </w:p>
        </w:tc>
        <w:tc>
          <w:tcPr>
            <w:tcW w:w="890" w:type="dxa"/>
            <w:tcBorders>
              <w:top w:val="nil"/>
              <w:bottom w:val="single" w:sz="4" w:space="0" w:color="auto"/>
            </w:tcBorders>
            <w:shd w:val="clear" w:color="auto" w:fill="auto"/>
            <w:noWrap/>
            <w:vAlign w:val="bottom"/>
          </w:tcPr>
          <w:p w14:paraId="5BD810F2" w14:textId="77777777" w:rsidR="00B37BAE" w:rsidRPr="00D67903" w:rsidRDefault="00B37BAE" w:rsidP="005C6916">
            <w:pPr>
              <w:spacing w:after="0" w:line="240" w:lineRule="auto"/>
              <w:jc w:val="center"/>
              <w:rPr>
                <w:rFonts w:ascii="Times New Roman" w:eastAsia="Times New Roman" w:hAnsi="Times New Roman" w:cs="Times New Roman"/>
                <w:color w:val="000000"/>
                <w:sz w:val="20"/>
                <w:szCs w:val="20"/>
                <w:lang w:eastAsia="de-DE"/>
              </w:rPr>
            </w:pPr>
            <w:r w:rsidRPr="00D431D4">
              <w:rPr>
                <w:rFonts w:ascii="Times New Roman" w:eastAsia="Times New Roman" w:hAnsi="Times New Roman" w:cs="Times New Roman"/>
                <w:b/>
                <w:bCs/>
                <w:color w:val="000000"/>
                <w:lang w:val="en-GB" w:eastAsia="de-DE"/>
              </w:rPr>
              <w:t>ΔEI</w:t>
            </w:r>
          </w:p>
        </w:tc>
        <w:tc>
          <w:tcPr>
            <w:tcW w:w="890" w:type="dxa"/>
            <w:tcBorders>
              <w:top w:val="nil"/>
              <w:bottom w:val="single" w:sz="4" w:space="0" w:color="auto"/>
            </w:tcBorders>
            <w:shd w:val="clear" w:color="auto" w:fill="auto"/>
            <w:noWrap/>
            <w:vAlign w:val="bottom"/>
          </w:tcPr>
          <w:p w14:paraId="0B0EFAF2" w14:textId="77777777" w:rsidR="00B37BAE" w:rsidRPr="00D67903" w:rsidRDefault="00B37BAE" w:rsidP="005C6916">
            <w:pPr>
              <w:spacing w:after="0" w:line="240" w:lineRule="auto"/>
              <w:jc w:val="center"/>
              <w:rPr>
                <w:rFonts w:ascii="Times New Roman" w:eastAsia="Times New Roman" w:hAnsi="Times New Roman" w:cs="Times New Roman"/>
                <w:color w:val="000000"/>
                <w:sz w:val="20"/>
                <w:szCs w:val="20"/>
                <w:lang w:eastAsia="de-DE"/>
              </w:rPr>
            </w:pPr>
            <w:r w:rsidRPr="00D431D4">
              <w:rPr>
                <w:rFonts w:ascii="Times New Roman" w:eastAsia="Times New Roman" w:hAnsi="Times New Roman" w:cs="Times New Roman"/>
                <w:b/>
                <w:bCs/>
                <w:color w:val="000000"/>
                <w:lang w:val="en-GB" w:eastAsia="de-DE"/>
              </w:rPr>
              <w:t>ΔCI</w:t>
            </w:r>
          </w:p>
        </w:tc>
        <w:tc>
          <w:tcPr>
            <w:tcW w:w="790" w:type="dxa"/>
            <w:tcBorders>
              <w:top w:val="nil"/>
              <w:bottom w:val="single" w:sz="4" w:space="0" w:color="auto"/>
            </w:tcBorders>
            <w:shd w:val="clear" w:color="auto" w:fill="E7E6E6" w:themeFill="background2"/>
            <w:vAlign w:val="bottom"/>
          </w:tcPr>
          <w:p w14:paraId="58BDC006" w14:textId="77777777" w:rsidR="00B37BAE" w:rsidRPr="00D431D4" w:rsidRDefault="00B37BAE" w:rsidP="005C6916">
            <w:pPr>
              <w:spacing w:after="0" w:line="240" w:lineRule="auto"/>
              <w:jc w:val="center"/>
              <w:rPr>
                <w:rFonts w:ascii="Times New Roman" w:eastAsia="Times New Roman" w:hAnsi="Times New Roman" w:cs="Times New Roman"/>
                <w:b/>
                <w:bCs/>
                <w:color w:val="000000"/>
                <w:lang w:val="en-GB" w:eastAsia="de-DE"/>
              </w:rPr>
            </w:pPr>
            <w:r w:rsidRPr="00D431D4">
              <w:rPr>
                <w:rFonts w:ascii="Times New Roman" w:eastAsia="Times New Roman" w:hAnsi="Times New Roman" w:cs="Times New Roman"/>
                <w:b/>
                <w:bCs/>
                <w:color w:val="000000"/>
                <w:lang w:val="en-GB" w:eastAsia="de-DE"/>
              </w:rPr>
              <w:t>ΔCO</w:t>
            </w:r>
            <w:r w:rsidRPr="00D431D4">
              <w:rPr>
                <w:rFonts w:ascii="Times New Roman" w:eastAsia="Times New Roman" w:hAnsi="Times New Roman" w:cs="Times New Roman"/>
                <w:b/>
                <w:bCs/>
                <w:color w:val="000000"/>
                <w:vertAlign w:val="subscript"/>
                <w:lang w:val="en-GB" w:eastAsia="de-DE"/>
              </w:rPr>
              <w:t>2</w:t>
            </w:r>
          </w:p>
        </w:tc>
        <w:tc>
          <w:tcPr>
            <w:tcW w:w="783" w:type="dxa"/>
            <w:tcBorders>
              <w:top w:val="nil"/>
              <w:bottom w:val="single" w:sz="4" w:space="0" w:color="auto"/>
            </w:tcBorders>
            <w:vAlign w:val="bottom"/>
          </w:tcPr>
          <w:p w14:paraId="027C832B" w14:textId="77777777" w:rsidR="00B37BAE" w:rsidRPr="00D431D4" w:rsidRDefault="00B37BAE" w:rsidP="005C6916">
            <w:pPr>
              <w:spacing w:after="0" w:line="240" w:lineRule="auto"/>
              <w:jc w:val="center"/>
              <w:rPr>
                <w:rFonts w:ascii="Times New Roman" w:eastAsia="Times New Roman" w:hAnsi="Times New Roman" w:cs="Times New Roman"/>
                <w:b/>
                <w:bCs/>
                <w:color w:val="000000"/>
                <w:lang w:val="en-GB" w:eastAsia="de-DE"/>
              </w:rPr>
            </w:pPr>
            <w:r w:rsidRPr="00D431D4">
              <w:rPr>
                <w:rFonts w:ascii="Times New Roman" w:eastAsia="Times New Roman" w:hAnsi="Times New Roman" w:cs="Times New Roman"/>
                <w:b/>
                <w:bCs/>
                <w:color w:val="000000"/>
                <w:lang w:val="en-GB" w:eastAsia="de-DE"/>
              </w:rPr>
              <w:t>ΔP</w:t>
            </w:r>
          </w:p>
        </w:tc>
        <w:tc>
          <w:tcPr>
            <w:tcW w:w="784" w:type="dxa"/>
            <w:tcBorders>
              <w:top w:val="nil"/>
              <w:bottom w:val="single" w:sz="4" w:space="0" w:color="auto"/>
            </w:tcBorders>
            <w:vAlign w:val="bottom"/>
          </w:tcPr>
          <w:p w14:paraId="7DC0CC0E" w14:textId="77777777" w:rsidR="00B37BAE" w:rsidRPr="00D431D4" w:rsidRDefault="00B37BAE" w:rsidP="005C6916">
            <w:pPr>
              <w:spacing w:after="0" w:line="240" w:lineRule="auto"/>
              <w:jc w:val="center"/>
              <w:rPr>
                <w:rFonts w:ascii="Times New Roman" w:eastAsia="Times New Roman" w:hAnsi="Times New Roman" w:cs="Times New Roman"/>
                <w:b/>
                <w:bCs/>
                <w:color w:val="000000"/>
                <w:lang w:val="en-GB" w:eastAsia="de-DE"/>
              </w:rPr>
            </w:pPr>
            <w:r w:rsidRPr="00D431D4">
              <w:rPr>
                <w:rFonts w:ascii="Times New Roman" w:eastAsia="Times New Roman" w:hAnsi="Times New Roman" w:cs="Times New Roman"/>
                <w:b/>
                <w:bCs/>
                <w:color w:val="000000"/>
                <w:lang w:val="en-GB" w:eastAsia="de-DE"/>
              </w:rPr>
              <w:t>ΔA</w:t>
            </w:r>
          </w:p>
        </w:tc>
        <w:tc>
          <w:tcPr>
            <w:tcW w:w="784" w:type="dxa"/>
            <w:tcBorders>
              <w:top w:val="nil"/>
              <w:bottom w:val="single" w:sz="4" w:space="0" w:color="auto"/>
            </w:tcBorders>
            <w:vAlign w:val="bottom"/>
          </w:tcPr>
          <w:p w14:paraId="68612135" w14:textId="77777777" w:rsidR="00B37BAE" w:rsidRPr="00D431D4" w:rsidRDefault="00B37BAE" w:rsidP="005C6916">
            <w:pPr>
              <w:spacing w:after="0" w:line="240" w:lineRule="auto"/>
              <w:jc w:val="center"/>
              <w:rPr>
                <w:rFonts w:ascii="Times New Roman" w:eastAsia="Times New Roman" w:hAnsi="Times New Roman" w:cs="Times New Roman"/>
                <w:b/>
                <w:bCs/>
                <w:color w:val="000000"/>
                <w:lang w:val="en-GB" w:eastAsia="de-DE"/>
              </w:rPr>
            </w:pPr>
            <w:r w:rsidRPr="00D431D4">
              <w:rPr>
                <w:rFonts w:ascii="Times New Roman" w:eastAsia="Times New Roman" w:hAnsi="Times New Roman" w:cs="Times New Roman"/>
                <w:b/>
                <w:bCs/>
                <w:color w:val="000000"/>
                <w:lang w:val="en-GB" w:eastAsia="de-DE"/>
              </w:rPr>
              <w:t>ΔEI</w:t>
            </w:r>
          </w:p>
        </w:tc>
        <w:tc>
          <w:tcPr>
            <w:tcW w:w="815" w:type="dxa"/>
            <w:tcBorders>
              <w:top w:val="nil"/>
              <w:bottom w:val="single" w:sz="4" w:space="0" w:color="auto"/>
              <w:right w:val="nil"/>
            </w:tcBorders>
            <w:vAlign w:val="bottom"/>
          </w:tcPr>
          <w:p w14:paraId="7143E337" w14:textId="77777777" w:rsidR="00B37BAE" w:rsidRPr="00D431D4" w:rsidRDefault="00B37BAE" w:rsidP="005C6916">
            <w:pPr>
              <w:spacing w:after="0" w:line="240" w:lineRule="auto"/>
              <w:jc w:val="center"/>
              <w:rPr>
                <w:rFonts w:ascii="Times New Roman" w:eastAsia="Times New Roman" w:hAnsi="Times New Roman" w:cs="Times New Roman"/>
                <w:b/>
                <w:bCs/>
                <w:color w:val="000000"/>
                <w:lang w:val="en-GB" w:eastAsia="de-DE"/>
              </w:rPr>
            </w:pPr>
            <w:r w:rsidRPr="00D431D4">
              <w:rPr>
                <w:rFonts w:ascii="Times New Roman" w:eastAsia="Times New Roman" w:hAnsi="Times New Roman" w:cs="Times New Roman"/>
                <w:b/>
                <w:bCs/>
                <w:color w:val="000000"/>
                <w:lang w:val="en-GB" w:eastAsia="de-DE"/>
              </w:rPr>
              <w:t>ΔCI</w:t>
            </w:r>
          </w:p>
        </w:tc>
      </w:tr>
      <w:tr w:rsidR="0055202D" w:rsidRPr="00D67903" w14:paraId="3E4BEF0E" w14:textId="77777777" w:rsidTr="00AC558B">
        <w:trPr>
          <w:trHeight w:val="290"/>
        </w:trPr>
        <w:tc>
          <w:tcPr>
            <w:tcW w:w="641" w:type="dxa"/>
            <w:tcBorders>
              <w:top w:val="single" w:sz="4" w:space="0" w:color="auto"/>
              <w:left w:val="nil"/>
              <w:bottom w:val="nil"/>
            </w:tcBorders>
            <w:shd w:val="clear" w:color="auto" w:fill="auto"/>
            <w:noWrap/>
            <w:vAlign w:val="bottom"/>
            <w:hideMark/>
          </w:tcPr>
          <w:p w14:paraId="00401C24"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1998</w:t>
            </w:r>
          </w:p>
        </w:tc>
        <w:tc>
          <w:tcPr>
            <w:tcW w:w="890" w:type="dxa"/>
            <w:tcBorders>
              <w:top w:val="single" w:sz="4" w:space="0" w:color="auto"/>
              <w:bottom w:val="nil"/>
            </w:tcBorders>
            <w:shd w:val="clear" w:color="auto" w:fill="E7E6E6" w:themeFill="background2"/>
            <w:noWrap/>
            <w:hideMark/>
          </w:tcPr>
          <w:p w14:paraId="36844D79" w14:textId="4C50737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1.041</w:t>
            </w:r>
          </w:p>
        </w:tc>
        <w:tc>
          <w:tcPr>
            <w:tcW w:w="890" w:type="dxa"/>
            <w:tcBorders>
              <w:top w:val="single" w:sz="4" w:space="0" w:color="auto"/>
              <w:bottom w:val="nil"/>
            </w:tcBorders>
            <w:shd w:val="clear" w:color="auto" w:fill="auto"/>
            <w:noWrap/>
            <w:hideMark/>
          </w:tcPr>
          <w:p w14:paraId="0C9CDDDF" w14:textId="20FC0C6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1.004</w:t>
            </w:r>
          </w:p>
        </w:tc>
        <w:tc>
          <w:tcPr>
            <w:tcW w:w="890" w:type="dxa"/>
            <w:tcBorders>
              <w:top w:val="single" w:sz="4" w:space="0" w:color="auto"/>
              <w:bottom w:val="nil"/>
            </w:tcBorders>
            <w:shd w:val="clear" w:color="auto" w:fill="auto"/>
            <w:noWrap/>
            <w:hideMark/>
          </w:tcPr>
          <w:p w14:paraId="78F87DBD" w14:textId="0AF7C9A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1.039</w:t>
            </w:r>
          </w:p>
        </w:tc>
        <w:tc>
          <w:tcPr>
            <w:tcW w:w="890" w:type="dxa"/>
            <w:tcBorders>
              <w:top w:val="single" w:sz="4" w:space="0" w:color="auto"/>
              <w:bottom w:val="nil"/>
            </w:tcBorders>
            <w:shd w:val="clear" w:color="auto" w:fill="auto"/>
            <w:noWrap/>
            <w:hideMark/>
          </w:tcPr>
          <w:p w14:paraId="6FFCB1AB" w14:textId="22FBF75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1.004</w:t>
            </w:r>
          </w:p>
        </w:tc>
        <w:tc>
          <w:tcPr>
            <w:tcW w:w="890" w:type="dxa"/>
            <w:tcBorders>
              <w:top w:val="single" w:sz="4" w:space="0" w:color="auto"/>
              <w:bottom w:val="nil"/>
            </w:tcBorders>
            <w:shd w:val="clear" w:color="auto" w:fill="auto"/>
            <w:noWrap/>
            <w:hideMark/>
          </w:tcPr>
          <w:p w14:paraId="4C38F09F" w14:textId="1604B7F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0.993</w:t>
            </w:r>
          </w:p>
        </w:tc>
        <w:tc>
          <w:tcPr>
            <w:tcW w:w="790" w:type="dxa"/>
            <w:tcBorders>
              <w:top w:val="single" w:sz="4" w:space="0" w:color="auto"/>
              <w:bottom w:val="nil"/>
            </w:tcBorders>
            <w:shd w:val="clear" w:color="auto" w:fill="E7E6E6" w:themeFill="background2"/>
          </w:tcPr>
          <w:p w14:paraId="3F73D536" w14:textId="182C73E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0.990</w:t>
            </w:r>
          </w:p>
        </w:tc>
        <w:tc>
          <w:tcPr>
            <w:tcW w:w="783" w:type="dxa"/>
            <w:tcBorders>
              <w:top w:val="single" w:sz="4" w:space="0" w:color="auto"/>
              <w:bottom w:val="nil"/>
            </w:tcBorders>
          </w:tcPr>
          <w:p w14:paraId="59C73D1A" w14:textId="5C20009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1.001</w:t>
            </w:r>
          </w:p>
        </w:tc>
        <w:tc>
          <w:tcPr>
            <w:tcW w:w="784" w:type="dxa"/>
            <w:tcBorders>
              <w:top w:val="single" w:sz="4" w:space="0" w:color="auto"/>
              <w:bottom w:val="nil"/>
            </w:tcBorders>
          </w:tcPr>
          <w:p w14:paraId="4B7FE909" w14:textId="20C802C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1.020</w:t>
            </w:r>
          </w:p>
        </w:tc>
        <w:tc>
          <w:tcPr>
            <w:tcW w:w="784" w:type="dxa"/>
            <w:tcBorders>
              <w:top w:val="single" w:sz="4" w:space="0" w:color="auto"/>
              <w:bottom w:val="nil"/>
            </w:tcBorders>
          </w:tcPr>
          <w:p w14:paraId="051BC8E7" w14:textId="5D2F594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0.972</w:t>
            </w:r>
          </w:p>
        </w:tc>
        <w:tc>
          <w:tcPr>
            <w:tcW w:w="815" w:type="dxa"/>
            <w:tcBorders>
              <w:top w:val="single" w:sz="4" w:space="0" w:color="auto"/>
              <w:bottom w:val="nil"/>
              <w:right w:val="nil"/>
            </w:tcBorders>
          </w:tcPr>
          <w:p w14:paraId="15F6F61A" w14:textId="5A2A98E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0.998</w:t>
            </w:r>
          </w:p>
        </w:tc>
      </w:tr>
      <w:tr w:rsidR="0055202D" w:rsidRPr="00D67903" w14:paraId="7813E937" w14:textId="77777777" w:rsidTr="00AC558B">
        <w:trPr>
          <w:trHeight w:val="290"/>
        </w:trPr>
        <w:tc>
          <w:tcPr>
            <w:tcW w:w="641" w:type="dxa"/>
            <w:tcBorders>
              <w:top w:val="nil"/>
              <w:left w:val="nil"/>
              <w:bottom w:val="nil"/>
            </w:tcBorders>
            <w:shd w:val="clear" w:color="auto" w:fill="auto"/>
            <w:noWrap/>
            <w:vAlign w:val="bottom"/>
            <w:hideMark/>
          </w:tcPr>
          <w:p w14:paraId="021EBAFD"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1999</w:t>
            </w:r>
          </w:p>
        </w:tc>
        <w:tc>
          <w:tcPr>
            <w:tcW w:w="890" w:type="dxa"/>
            <w:tcBorders>
              <w:top w:val="nil"/>
              <w:bottom w:val="nil"/>
            </w:tcBorders>
            <w:shd w:val="clear" w:color="auto" w:fill="E7E6E6" w:themeFill="background2"/>
            <w:noWrap/>
            <w:hideMark/>
          </w:tcPr>
          <w:p w14:paraId="6FF839A6" w14:textId="7692424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1.089</w:t>
            </w:r>
          </w:p>
        </w:tc>
        <w:tc>
          <w:tcPr>
            <w:tcW w:w="890" w:type="dxa"/>
            <w:tcBorders>
              <w:top w:val="nil"/>
              <w:bottom w:val="nil"/>
            </w:tcBorders>
            <w:shd w:val="clear" w:color="auto" w:fill="auto"/>
            <w:noWrap/>
            <w:hideMark/>
          </w:tcPr>
          <w:p w14:paraId="20C888EC" w14:textId="1F0A1E0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1.004</w:t>
            </w:r>
          </w:p>
        </w:tc>
        <w:tc>
          <w:tcPr>
            <w:tcW w:w="890" w:type="dxa"/>
            <w:tcBorders>
              <w:top w:val="nil"/>
              <w:bottom w:val="nil"/>
            </w:tcBorders>
            <w:shd w:val="clear" w:color="auto" w:fill="auto"/>
            <w:noWrap/>
            <w:hideMark/>
          </w:tcPr>
          <w:p w14:paraId="48399AA1" w14:textId="01F0272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1.041</w:t>
            </w:r>
          </w:p>
        </w:tc>
        <w:tc>
          <w:tcPr>
            <w:tcW w:w="890" w:type="dxa"/>
            <w:tcBorders>
              <w:top w:val="nil"/>
              <w:bottom w:val="nil"/>
            </w:tcBorders>
            <w:shd w:val="clear" w:color="auto" w:fill="auto"/>
            <w:noWrap/>
            <w:hideMark/>
          </w:tcPr>
          <w:p w14:paraId="64EDE49C" w14:textId="334FC71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0.987</w:t>
            </w:r>
          </w:p>
        </w:tc>
        <w:tc>
          <w:tcPr>
            <w:tcW w:w="890" w:type="dxa"/>
            <w:tcBorders>
              <w:top w:val="nil"/>
              <w:bottom w:val="nil"/>
            </w:tcBorders>
            <w:shd w:val="clear" w:color="auto" w:fill="auto"/>
            <w:noWrap/>
            <w:hideMark/>
          </w:tcPr>
          <w:p w14:paraId="15681183" w14:textId="08BB727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1.056</w:t>
            </w:r>
          </w:p>
        </w:tc>
        <w:tc>
          <w:tcPr>
            <w:tcW w:w="790" w:type="dxa"/>
            <w:tcBorders>
              <w:top w:val="nil"/>
              <w:bottom w:val="nil"/>
            </w:tcBorders>
            <w:shd w:val="clear" w:color="auto" w:fill="E7E6E6" w:themeFill="background2"/>
          </w:tcPr>
          <w:p w14:paraId="54748416" w14:textId="37194EA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0.974</w:t>
            </w:r>
          </w:p>
        </w:tc>
        <w:tc>
          <w:tcPr>
            <w:tcW w:w="783" w:type="dxa"/>
            <w:tcBorders>
              <w:top w:val="nil"/>
              <w:bottom w:val="nil"/>
            </w:tcBorders>
          </w:tcPr>
          <w:p w14:paraId="14FC345C" w14:textId="315BC1D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1.000</w:t>
            </w:r>
          </w:p>
        </w:tc>
        <w:tc>
          <w:tcPr>
            <w:tcW w:w="784" w:type="dxa"/>
            <w:tcBorders>
              <w:top w:val="nil"/>
              <w:bottom w:val="nil"/>
            </w:tcBorders>
          </w:tcPr>
          <w:p w14:paraId="2A716445" w14:textId="4F4F4DE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1.019</w:t>
            </w:r>
          </w:p>
        </w:tc>
        <w:tc>
          <w:tcPr>
            <w:tcW w:w="784" w:type="dxa"/>
            <w:tcBorders>
              <w:top w:val="nil"/>
              <w:bottom w:val="nil"/>
            </w:tcBorders>
          </w:tcPr>
          <w:p w14:paraId="5B208368" w14:textId="7258D10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0.968</w:t>
            </w:r>
          </w:p>
        </w:tc>
        <w:tc>
          <w:tcPr>
            <w:tcW w:w="815" w:type="dxa"/>
            <w:tcBorders>
              <w:top w:val="nil"/>
              <w:bottom w:val="nil"/>
              <w:right w:val="nil"/>
            </w:tcBorders>
          </w:tcPr>
          <w:p w14:paraId="095E0C8B" w14:textId="780DC2B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0.987</w:t>
            </w:r>
          </w:p>
        </w:tc>
      </w:tr>
      <w:tr w:rsidR="0055202D" w:rsidRPr="00D67903" w14:paraId="2B7D763E" w14:textId="77777777" w:rsidTr="00AC558B">
        <w:trPr>
          <w:trHeight w:val="290"/>
        </w:trPr>
        <w:tc>
          <w:tcPr>
            <w:tcW w:w="641" w:type="dxa"/>
            <w:tcBorders>
              <w:top w:val="nil"/>
              <w:left w:val="nil"/>
              <w:bottom w:val="nil"/>
            </w:tcBorders>
            <w:shd w:val="clear" w:color="auto" w:fill="auto"/>
            <w:noWrap/>
            <w:vAlign w:val="bottom"/>
            <w:hideMark/>
          </w:tcPr>
          <w:p w14:paraId="2EE6D014"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2000</w:t>
            </w:r>
          </w:p>
        </w:tc>
        <w:tc>
          <w:tcPr>
            <w:tcW w:w="890" w:type="dxa"/>
            <w:tcBorders>
              <w:top w:val="nil"/>
              <w:bottom w:val="nil"/>
            </w:tcBorders>
            <w:shd w:val="clear" w:color="auto" w:fill="E7E6E6" w:themeFill="background2"/>
            <w:noWrap/>
            <w:hideMark/>
          </w:tcPr>
          <w:p w14:paraId="67C954B9" w14:textId="33CAA95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1.035</w:t>
            </w:r>
          </w:p>
        </w:tc>
        <w:tc>
          <w:tcPr>
            <w:tcW w:w="890" w:type="dxa"/>
            <w:tcBorders>
              <w:top w:val="nil"/>
              <w:bottom w:val="nil"/>
            </w:tcBorders>
            <w:shd w:val="clear" w:color="auto" w:fill="auto"/>
            <w:noWrap/>
            <w:hideMark/>
          </w:tcPr>
          <w:p w14:paraId="31C425A9" w14:textId="331F856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1.004</w:t>
            </w:r>
          </w:p>
        </w:tc>
        <w:tc>
          <w:tcPr>
            <w:tcW w:w="890" w:type="dxa"/>
            <w:tcBorders>
              <w:top w:val="nil"/>
              <w:bottom w:val="nil"/>
            </w:tcBorders>
            <w:shd w:val="clear" w:color="auto" w:fill="auto"/>
            <w:noWrap/>
            <w:hideMark/>
          </w:tcPr>
          <w:p w14:paraId="4CE57FD0" w14:textId="3966D7F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1.048</w:t>
            </w:r>
          </w:p>
        </w:tc>
        <w:tc>
          <w:tcPr>
            <w:tcW w:w="890" w:type="dxa"/>
            <w:tcBorders>
              <w:top w:val="nil"/>
              <w:bottom w:val="nil"/>
            </w:tcBorders>
            <w:shd w:val="clear" w:color="auto" w:fill="auto"/>
            <w:noWrap/>
            <w:hideMark/>
          </w:tcPr>
          <w:p w14:paraId="1B6529FA" w14:textId="6507998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1.005</w:t>
            </w:r>
          </w:p>
        </w:tc>
        <w:tc>
          <w:tcPr>
            <w:tcW w:w="890" w:type="dxa"/>
            <w:tcBorders>
              <w:top w:val="nil"/>
              <w:bottom w:val="nil"/>
            </w:tcBorders>
            <w:shd w:val="clear" w:color="auto" w:fill="auto"/>
            <w:noWrap/>
            <w:hideMark/>
          </w:tcPr>
          <w:p w14:paraId="13082661" w14:textId="4F9084F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0.979</w:t>
            </w:r>
          </w:p>
        </w:tc>
        <w:tc>
          <w:tcPr>
            <w:tcW w:w="790" w:type="dxa"/>
            <w:tcBorders>
              <w:top w:val="nil"/>
              <w:bottom w:val="nil"/>
            </w:tcBorders>
            <w:shd w:val="clear" w:color="auto" w:fill="E7E6E6" w:themeFill="background2"/>
          </w:tcPr>
          <w:p w14:paraId="3AB50073" w14:textId="2541609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0.998</w:t>
            </w:r>
          </w:p>
        </w:tc>
        <w:tc>
          <w:tcPr>
            <w:tcW w:w="783" w:type="dxa"/>
            <w:tcBorders>
              <w:top w:val="nil"/>
              <w:bottom w:val="nil"/>
            </w:tcBorders>
          </w:tcPr>
          <w:p w14:paraId="4CDF11DF" w14:textId="1A00D42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1.002</w:t>
            </w:r>
          </w:p>
        </w:tc>
        <w:tc>
          <w:tcPr>
            <w:tcW w:w="784" w:type="dxa"/>
            <w:tcBorders>
              <w:top w:val="nil"/>
              <w:bottom w:val="nil"/>
            </w:tcBorders>
          </w:tcPr>
          <w:p w14:paraId="24BD668A" w14:textId="78D6367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1.028</w:t>
            </w:r>
          </w:p>
        </w:tc>
        <w:tc>
          <w:tcPr>
            <w:tcW w:w="784" w:type="dxa"/>
            <w:tcBorders>
              <w:top w:val="nil"/>
              <w:bottom w:val="nil"/>
            </w:tcBorders>
          </w:tcPr>
          <w:p w14:paraId="11137D66" w14:textId="5FB14DC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0.978</w:t>
            </w:r>
          </w:p>
        </w:tc>
        <w:tc>
          <w:tcPr>
            <w:tcW w:w="815" w:type="dxa"/>
            <w:tcBorders>
              <w:top w:val="nil"/>
              <w:bottom w:val="nil"/>
              <w:right w:val="nil"/>
            </w:tcBorders>
          </w:tcPr>
          <w:p w14:paraId="33BE6D8D" w14:textId="5A963DD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0.992</w:t>
            </w:r>
          </w:p>
        </w:tc>
      </w:tr>
      <w:tr w:rsidR="0055202D" w:rsidRPr="00D67903" w14:paraId="235089F3" w14:textId="77777777" w:rsidTr="00AC558B">
        <w:trPr>
          <w:trHeight w:val="290"/>
        </w:trPr>
        <w:tc>
          <w:tcPr>
            <w:tcW w:w="641" w:type="dxa"/>
            <w:tcBorders>
              <w:top w:val="nil"/>
              <w:left w:val="nil"/>
              <w:bottom w:val="nil"/>
            </w:tcBorders>
            <w:shd w:val="clear" w:color="auto" w:fill="auto"/>
            <w:noWrap/>
            <w:vAlign w:val="bottom"/>
            <w:hideMark/>
          </w:tcPr>
          <w:p w14:paraId="072DEEF6"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2001</w:t>
            </w:r>
          </w:p>
        </w:tc>
        <w:tc>
          <w:tcPr>
            <w:tcW w:w="890" w:type="dxa"/>
            <w:tcBorders>
              <w:top w:val="nil"/>
              <w:bottom w:val="nil"/>
            </w:tcBorders>
            <w:shd w:val="clear" w:color="auto" w:fill="E7E6E6" w:themeFill="background2"/>
            <w:noWrap/>
            <w:hideMark/>
          </w:tcPr>
          <w:p w14:paraId="0834FCF5" w14:textId="4558C0D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1.015</w:t>
            </w:r>
          </w:p>
        </w:tc>
        <w:tc>
          <w:tcPr>
            <w:tcW w:w="890" w:type="dxa"/>
            <w:tcBorders>
              <w:top w:val="nil"/>
              <w:bottom w:val="nil"/>
            </w:tcBorders>
            <w:shd w:val="clear" w:color="auto" w:fill="auto"/>
            <w:noWrap/>
            <w:hideMark/>
          </w:tcPr>
          <w:p w14:paraId="73D8EF35" w14:textId="71F4C891"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1.005</w:t>
            </w:r>
          </w:p>
        </w:tc>
        <w:tc>
          <w:tcPr>
            <w:tcW w:w="890" w:type="dxa"/>
            <w:tcBorders>
              <w:top w:val="nil"/>
              <w:bottom w:val="nil"/>
            </w:tcBorders>
            <w:shd w:val="clear" w:color="auto" w:fill="auto"/>
            <w:noWrap/>
            <w:hideMark/>
          </w:tcPr>
          <w:p w14:paraId="645DCAE6" w14:textId="1FED175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1.034</w:t>
            </w:r>
          </w:p>
        </w:tc>
        <w:tc>
          <w:tcPr>
            <w:tcW w:w="890" w:type="dxa"/>
            <w:tcBorders>
              <w:top w:val="nil"/>
              <w:bottom w:val="nil"/>
            </w:tcBorders>
            <w:shd w:val="clear" w:color="auto" w:fill="auto"/>
            <w:noWrap/>
            <w:hideMark/>
          </w:tcPr>
          <w:p w14:paraId="7D3DC320" w14:textId="3A0481A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1.006</w:t>
            </w:r>
          </w:p>
        </w:tc>
        <w:tc>
          <w:tcPr>
            <w:tcW w:w="890" w:type="dxa"/>
            <w:tcBorders>
              <w:top w:val="nil"/>
              <w:bottom w:val="nil"/>
            </w:tcBorders>
            <w:shd w:val="clear" w:color="auto" w:fill="auto"/>
            <w:noWrap/>
            <w:hideMark/>
          </w:tcPr>
          <w:p w14:paraId="4573A034" w14:textId="2FED065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0.971</w:t>
            </w:r>
          </w:p>
        </w:tc>
        <w:tc>
          <w:tcPr>
            <w:tcW w:w="790" w:type="dxa"/>
            <w:tcBorders>
              <w:top w:val="nil"/>
              <w:bottom w:val="nil"/>
            </w:tcBorders>
            <w:shd w:val="clear" w:color="auto" w:fill="E7E6E6" w:themeFill="background2"/>
          </w:tcPr>
          <w:p w14:paraId="7FD5D536" w14:textId="081D9AE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1.020</w:t>
            </w:r>
          </w:p>
        </w:tc>
        <w:tc>
          <w:tcPr>
            <w:tcW w:w="783" w:type="dxa"/>
            <w:tcBorders>
              <w:top w:val="nil"/>
              <w:bottom w:val="nil"/>
            </w:tcBorders>
          </w:tcPr>
          <w:p w14:paraId="49616F27" w14:textId="1B5C5DE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1.001</w:t>
            </w:r>
          </w:p>
        </w:tc>
        <w:tc>
          <w:tcPr>
            <w:tcW w:w="784" w:type="dxa"/>
            <w:tcBorders>
              <w:top w:val="nil"/>
              <w:bottom w:val="nil"/>
            </w:tcBorders>
          </w:tcPr>
          <w:p w14:paraId="39F212CB" w14:textId="23AB299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1.016</w:t>
            </w:r>
          </w:p>
        </w:tc>
        <w:tc>
          <w:tcPr>
            <w:tcW w:w="784" w:type="dxa"/>
            <w:tcBorders>
              <w:top w:val="nil"/>
              <w:bottom w:val="nil"/>
            </w:tcBorders>
          </w:tcPr>
          <w:p w14:paraId="16C7D79B" w14:textId="459D71B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1.002</w:t>
            </w:r>
          </w:p>
        </w:tc>
        <w:tc>
          <w:tcPr>
            <w:tcW w:w="815" w:type="dxa"/>
            <w:tcBorders>
              <w:top w:val="nil"/>
              <w:bottom w:val="nil"/>
              <w:right w:val="nil"/>
            </w:tcBorders>
          </w:tcPr>
          <w:p w14:paraId="0BA71154" w14:textId="0A0E91A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1.001</w:t>
            </w:r>
          </w:p>
        </w:tc>
      </w:tr>
      <w:tr w:rsidR="0055202D" w:rsidRPr="00D67903" w14:paraId="2F4190CF" w14:textId="77777777" w:rsidTr="00AC558B">
        <w:trPr>
          <w:trHeight w:val="290"/>
        </w:trPr>
        <w:tc>
          <w:tcPr>
            <w:tcW w:w="641" w:type="dxa"/>
            <w:tcBorders>
              <w:top w:val="nil"/>
              <w:left w:val="nil"/>
              <w:bottom w:val="nil"/>
            </w:tcBorders>
            <w:shd w:val="clear" w:color="auto" w:fill="auto"/>
            <w:noWrap/>
            <w:vAlign w:val="bottom"/>
            <w:hideMark/>
          </w:tcPr>
          <w:p w14:paraId="63C8FF39"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2002</w:t>
            </w:r>
          </w:p>
        </w:tc>
        <w:tc>
          <w:tcPr>
            <w:tcW w:w="890" w:type="dxa"/>
            <w:tcBorders>
              <w:top w:val="nil"/>
              <w:bottom w:val="nil"/>
            </w:tcBorders>
            <w:shd w:val="clear" w:color="auto" w:fill="E7E6E6" w:themeFill="background2"/>
            <w:noWrap/>
            <w:hideMark/>
          </w:tcPr>
          <w:p w14:paraId="30F426A4" w14:textId="7470EB2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1.058</w:t>
            </w:r>
          </w:p>
        </w:tc>
        <w:tc>
          <w:tcPr>
            <w:tcW w:w="890" w:type="dxa"/>
            <w:tcBorders>
              <w:top w:val="nil"/>
              <w:bottom w:val="nil"/>
            </w:tcBorders>
            <w:shd w:val="clear" w:color="auto" w:fill="auto"/>
            <w:noWrap/>
            <w:hideMark/>
          </w:tcPr>
          <w:p w14:paraId="217B41DD" w14:textId="0521DC0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1.009</w:t>
            </w:r>
          </w:p>
        </w:tc>
        <w:tc>
          <w:tcPr>
            <w:tcW w:w="890" w:type="dxa"/>
            <w:tcBorders>
              <w:top w:val="nil"/>
              <w:bottom w:val="nil"/>
            </w:tcBorders>
            <w:shd w:val="clear" w:color="auto" w:fill="auto"/>
            <w:noWrap/>
            <w:hideMark/>
          </w:tcPr>
          <w:p w14:paraId="109A7E6D" w14:textId="629FA10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1.018</w:t>
            </w:r>
          </w:p>
        </w:tc>
        <w:tc>
          <w:tcPr>
            <w:tcW w:w="890" w:type="dxa"/>
            <w:tcBorders>
              <w:top w:val="nil"/>
              <w:bottom w:val="nil"/>
            </w:tcBorders>
            <w:shd w:val="clear" w:color="auto" w:fill="auto"/>
            <w:noWrap/>
            <w:hideMark/>
          </w:tcPr>
          <w:p w14:paraId="11F0C57C" w14:textId="5A724E8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0.984</w:t>
            </w:r>
          </w:p>
        </w:tc>
        <w:tc>
          <w:tcPr>
            <w:tcW w:w="890" w:type="dxa"/>
            <w:tcBorders>
              <w:top w:val="nil"/>
              <w:bottom w:val="nil"/>
            </w:tcBorders>
            <w:shd w:val="clear" w:color="auto" w:fill="auto"/>
            <w:noWrap/>
            <w:hideMark/>
          </w:tcPr>
          <w:p w14:paraId="5CD4EE20" w14:textId="19EAB0E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1.047</w:t>
            </w:r>
          </w:p>
        </w:tc>
        <w:tc>
          <w:tcPr>
            <w:tcW w:w="790" w:type="dxa"/>
            <w:tcBorders>
              <w:top w:val="nil"/>
              <w:bottom w:val="nil"/>
            </w:tcBorders>
            <w:shd w:val="clear" w:color="auto" w:fill="E7E6E6" w:themeFill="background2"/>
          </w:tcPr>
          <w:p w14:paraId="6FC037C9" w14:textId="0A88511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0.985</w:t>
            </w:r>
          </w:p>
        </w:tc>
        <w:tc>
          <w:tcPr>
            <w:tcW w:w="783" w:type="dxa"/>
            <w:tcBorders>
              <w:top w:val="nil"/>
              <w:bottom w:val="nil"/>
            </w:tcBorders>
          </w:tcPr>
          <w:p w14:paraId="3C290505" w14:textId="0BD0DEA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1.002</w:t>
            </w:r>
          </w:p>
        </w:tc>
        <w:tc>
          <w:tcPr>
            <w:tcW w:w="784" w:type="dxa"/>
            <w:tcBorders>
              <w:top w:val="nil"/>
              <w:bottom w:val="nil"/>
            </w:tcBorders>
          </w:tcPr>
          <w:p w14:paraId="0CB252FB" w14:textId="14CFE26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0.996</w:t>
            </w:r>
          </w:p>
        </w:tc>
        <w:tc>
          <w:tcPr>
            <w:tcW w:w="784" w:type="dxa"/>
            <w:tcBorders>
              <w:top w:val="nil"/>
              <w:bottom w:val="nil"/>
            </w:tcBorders>
          </w:tcPr>
          <w:p w14:paraId="30262992" w14:textId="3696787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0.989</w:t>
            </w:r>
          </w:p>
        </w:tc>
        <w:tc>
          <w:tcPr>
            <w:tcW w:w="815" w:type="dxa"/>
            <w:tcBorders>
              <w:top w:val="nil"/>
              <w:bottom w:val="nil"/>
              <w:right w:val="nil"/>
            </w:tcBorders>
          </w:tcPr>
          <w:p w14:paraId="43159D55" w14:textId="65EF637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0.998</w:t>
            </w:r>
          </w:p>
        </w:tc>
      </w:tr>
      <w:tr w:rsidR="0055202D" w:rsidRPr="00D67903" w14:paraId="7EBEBE5B" w14:textId="77777777" w:rsidTr="00AC558B">
        <w:trPr>
          <w:trHeight w:val="290"/>
        </w:trPr>
        <w:tc>
          <w:tcPr>
            <w:tcW w:w="641" w:type="dxa"/>
            <w:tcBorders>
              <w:top w:val="nil"/>
              <w:left w:val="nil"/>
              <w:bottom w:val="nil"/>
            </w:tcBorders>
            <w:shd w:val="clear" w:color="auto" w:fill="auto"/>
            <w:noWrap/>
            <w:vAlign w:val="bottom"/>
            <w:hideMark/>
          </w:tcPr>
          <w:p w14:paraId="015D2141"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2003</w:t>
            </w:r>
          </w:p>
        </w:tc>
        <w:tc>
          <w:tcPr>
            <w:tcW w:w="890" w:type="dxa"/>
            <w:tcBorders>
              <w:top w:val="nil"/>
              <w:bottom w:val="nil"/>
            </w:tcBorders>
            <w:shd w:val="clear" w:color="auto" w:fill="E7E6E6" w:themeFill="background2"/>
            <w:noWrap/>
            <w:hideMark/>
          </w:tcPr>
          <w:p w14:paraId="6CD17C19" w14:textId="5B958FF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1.023</w:t>
            </w:r>
          </w:p>
        </w:tc>
        <w:tc>
          <w:tcPr>
            <w:tcW w:w="890" w:type="dxa"/>
            <w:tcBorders>
              <w:top w:val="nil"/>
              <w:bottom w:val="nil"/>
            </w:tcBorders>
            <w:shd w:val="clear" w:color="auto" w:fill="auto"/>
            <w:noWrap/>
            <w:hideMark/>
          </w:tcPr>
          <w:p w14:paraId="3B92C1D8" w14:textId="05D28F75"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1.019</w:t>
            </w:r>
          </w:p>
        </w:tc>
        <w:tc>
          <w:tcPr>
            <w:tcW w:w="890" w:type="dxa"/>
            <w:tcBorders>
              <w:top w:val="nil"/>
              <w:bottom w:val="nil"/>
            </w:tcBorders>
            <w:shd w:val="clear" w:color="auto" w:fill="auto"/>
            <w:noWrap/>
            <w:hideMark/>
          </w:tcPr>
          <w:p w14:paraId="08235D1B" w14:textId="7046FD3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1.010</w:t>
            </w:r>
          </w:p>
        </w:tc>
        <w:tc>
          <w:tcPr>
            <w:tcW w:w="890" w:type="dxa"/>
            <w:tcBorders>
              <w:top w:val="nil"/>
              <w:bottom w:val="nil"/>
            </w:tcBorders>
            <w:shd w:val="clear" w:color="auto" w:fill="auto"/>
            <w:noWrap/>
            <w:hideMark/>
          </w:tcPr>
          <w:p w14:paraId="4FB77BEC" w14:textId="3FDA4A4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1.026</w:t>
            </w:r>
          </w:p>
        </w:tc>
        <w:tc>
          <w:tcPr>
            <w:tcW w:w="890" w:type="dxa"/>
            <w:tcBorders>
              <w:top w:val="nil"/>
              <w:bottom w:val="nil"/>
            </w:tcBorders>
            <w:shd w:val="clear" w:color="auto" w:fill="auto"/>
            <w:noWrap/>
            <w:hideMark/>
          </w:tcPr>
          <w:p w14:paraId="4D19DF88" w14:textId="731BBAA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0.968</w:t>
            </w:r>
          </w:p>
        </w:tc>
        <w:tc>
          <w:tcPr>
            <w:tcW w:w="790" w:type="dxa"/>
            <w:tcBorders>
              <w:top w:val="nil"/>
              <w:bottom w:val="nil"/>
            </w:tcBorders>
            <w:shd w:val="clear" w:color="auto" w:fill="E7E6E6" w:themeFill="background2"/>
          </w:tcPr>
          <w:p w14:paraId="74A1333A" w14:textId="5DBC19E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1.003</w:t>
            </w:r>
          </w:p>
        </w:tc>
        <w:tc>
          <w:tcPr>
            <w:tcW w:w="783" w:type="dxa"/>
            <w:tcBorders>
              <w:top w:val="nil"/>
              <w:bottom w:val="nil"/>
            </w:tcBorders>
          </w:tcPr>
          <w:p w14:paraId="67373B91" w14:textId="10C57DD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1.001</w:t>
            </w:r>
          </w:p>
        </w:tc>
        <w:tc>
          <w:tcPr>
            <w:tcW w:w="784" w:type="dxa"/>
            <w:tcBorders>
              <w:top w:val="nil"/>
              <w:bottom w:val="nil"/>
            </w:tcBorders>
          </w:tcPr>
          <w:p w14:paraId="4CF5217C" w14:textId="6A84B88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0.992</w:t>
            </w:r>
          </w:p>
        </w:tc>
        <w:tc>
          <w:tcPr>
            <w:tcW w:w="784" w:type="dxa"/>
            <w:tcBorders>
              <w:top w:val="nil"/>
              <w:bottom w:val="nil"/>
            </w:tcBorders>
          </w:tcPr>
          <w:p w14:paraId="73127CE4" w14:textId="2D91BC2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1.007</w:t>
            </w:r>
          </w:p>
        </w:tc>
        <w:tc>
          <w:tcPr>
            <w:tcW w:w="815" w:type="dxa"/>
            <w:tcBorders>
              <w:top w:val="nil"/>
              <w:bottom w:val="nil"/>
              <w:right w:val="nil"/>
            </w:tcBorders>
          </w:tcPr>
          <w:p w14:paraId="274E37C8" w14:textId="3EFFAC7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1.003</w:t>
            </w:r>
          </w:p>
        </w:tc>
      </w:tr>
      <w:tr w:rsidR="0055202D" w:rsidRPr="00D67903" w14:paraId="380BFFFC" w14:textId="77777777" w:rsidTr="00AC558B">
        <w:trPr>
          <w:trHeight w:val="290"/>
        </w:trPr>
        <w:tc>
          <w:tcPr>
            <w:tcW w:w="641" w:type="dxa"/>
            <w:tcBorders>
              <w:top w:val="nil"/>
              <w:left w:val="nil"/>
              <w:bottom w:val="nil"/>
            </w:tcBorders>
            <w:shd w:val="clear" w:color="auto" w:fill="auto"/>
            <w:noWrap/>
            <w:vAlign w:val="bottom"/>
            <w:hideMark/>
          </w:tcPr>
          <w:p w14:paraId="7699ACEE"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2004</w:t>
            </w:r>
          </w:p>
        </w:tc>
        <w:tc>
          <w:tcPr>
            <w:tcW w:w="890" w:type="dxa"/>
            <w:tcBorders>
              <w:top w:val="nil"/>
              <w:bottom w:val="nil"/>
            </w:tcBorders>
            <w:shd w:val="clear" w:color="auto" w:fill="E7E6E6" w:themeFill="background2"/>
            <w:noWrap/>
            <w:hideMark/>
          </w:tcPr>
          <w:p w14:paraId="008C1AAE" w14:textId="0265A7C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1.065</w:t>
            </w:r>
          </w:p>
        </w:tc>
        <w:tc>
          <w:tcPr>
            <w:tcW w:w="890" w:type="dxa"/>
            <w:tcBorders>
              <w:top w:val="nil"/>
              <w:bottom w:val="nil"/>
            </w:tcBorders>
            <w:shd w:val="clear" w:color="auto" w:fill="auto"/>
            <w:noWrap/>
            <w:hideMark/>
          </w:tcPr>
          <w:p w14:paraId="19E82E33" w14:textId="28DAE49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1.017</w:t>
            </w:r>
          </w:p>
        </w:tc>
        <w:tc>
          <w:tcPr>
            <w:tcW w:w="890" w:type="dxa"/>
            <w:tcBorders>
              <w:top w:val="nil"/>
              <w:bottom w:val="nil"/>
            </w:tcBorders>
            <w:shd w:val="clear" w:color="auto" w:fill="auto"/>
            <w:noWrap/>
            <w:hideMark/>
          </w:tcPr>
          <w:p w14:paraId="7B411BB6" w14:textId="57033D5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1.014</w:t>
            </w:r>
          </w:p>
        </w:tc>
        <w:tc>
          <w:tcPr>
            <w:tcW w:w="890" w:type="dxa"/>
            <w:tcBorders>
              <w:top w:val="nil"/>
              <w:bottom w:val="nil"/>
            </w:tcBorders>
            <w:shd w:val="clear" w:color="auto" w:fill="auto"/>
            <w:noWrap/>
            <w:hideMark/>
          </w:tcPr>
          <w:p w14:paraId="0BD121E0" w14:textId="06A8421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1.006</w:t>
            </w:r>
          </w:p>
        </w:tc>
        <w:tc>
          <w:tcPr>
            <w:tcW w:w="890" w:type="dxa"/>
            <w:tcBorders>
              <w:top w:val="nil"/>
              <w:bottom w:val="nil"/>
            </w:tcBorders>
            <w:shd w:val="clear" w:color="auto" w:fill="auto"/>
            <w:noWrap/>
            <w:hideMark/>
          </w:tcPr>
          <w:p w14:paraId="710D36E9" w14:textId="26896D8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1.026</w:t>
            </w:r>
          </w:p>
        </w:tc>
        <w:tc>
          <w:tcPr>
            <w:tcW w:w="790" w:type="dxa"/>
            <w:tcBorders>
              <w:top w:val="nil"/>
              <w:bottom w:val="nil"/>
            </w:tcBorders>
            <w:shd w:val="clear" w:color="auto" w:fill="E7E6E6" w:themeFill="background2"/>
          </w:tcPr>
          <w:p w14:paraId="23006CC0" w14:textId="37B22B4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0.983</w:t>
            </w:r>
          </w:p>
        </w:tc>
        <w:tc>
          <w:tcPr>
            <w:tcW w:w="783" w:type="dxa"/>
            <w:tcBorders>
              <w:top w:val="nil"/>
              <w:bottom w:val="nil"/>
            </w:tcBorders>
          </w:tcPr>
          <w:p w14:paraId="6258CF00" w14:textId="3458DF8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1.000</w:t>
            </w:r>
          </w:p>
        </w:tc>
        <w:tc>
          <w:tcPr>
            <w:tcW w:w="784" w:type="dxa"/>
            <w:tcBorders>
              <w:top w:val="nil"/>
              <w:bottom w:val="nil"/>
            </w:tcBorders>
          </w:tcPr>
          <w:p w14:paraId="040A1742" w14:textId="15A9A4C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1.012</w:t>
            </w:r>
          </w:p>
        </w:tc>
        <w:tc>
          <w:tcPr>
            <w:tcW w:w="784" w:type="dxa"/>
            <w:tcBorders>
              <w:top w:val="nil"/>
              <w:bottom w:val="nil"/>
            </w:tcBorders>
          </w:tcPr>
          <w:p w14:paraId="122AF3CE" w14:textId="0BD3744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0.988</w:t>
            </w:r>
          </w:p>
        </w:tc>
        <w:tc>
          <w:tcPr>
            <w:tcW w:w="815" w:type="dxa"/>
            <w:tcBorders>
              <w:top w:val="nil"/>
              <w:bottom w:val="nil"/>
              <w:right w:val="nil"/>
            </w:tcBorders>
          </w:tcPr>
          <w:p w14:paraId="14D7DB7D" w14:textId="587F764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0.983</w:t>
            </w:r>
          </w:p>
        </w:tc>
      </w:tr>
      <w:tr w:rsidR="0055202D" w:rsidRPr="00D67903" w14:paraId="04E444E9" w14:textId="77777777" w:rsidTr="00AC558B">
        <w:trPr>
          <w:trHeight w:val="290"/>
        </w:trPr>
        <w:tc>
          <w:tcPr>
            <w:tcW w:w="641" w:type="dxa"/>
            <w:tcBorders>
              <w:top w:val="nil"/>
              <w:left w:val="nil"/>
              <w:bottom w:val="nil"/>
            </w:tcBorders>
            <w:shd w:val="clear" w:color="auto" w:fill="auto"/>
            <w:noWrap/>
            <w:vAlign w:val="bottom"/>
            <w:hideMark/>
          </w:tcPr>
          <w:p w14:paraId="3F683B84"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2005</w:t>
            </w:r>
          </w:p>
        </w:tc>
        <w:tc>
          <w:tcPr>
            <w:tcW w:w="890" w:type="dxa"/>
            <w:tcBorders>
              <w:top w:val="nil"/>
              <w:bottom w:val="nil"/>
            </w:tcBorders>
            <w:shd w:val="clear" w:color="auto" w:fill="E7E6E6" w:themeFill="background2"/>
            <w:noWrap/>
            <w:hideMark/>
          </w:tcPr>
          <w:p w14:paraId="1CC0100C" w14:textId="7B183C3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1.035</w:t>
            </w:r>
          </w:p>
        </w:tc>
        <w:tc>
          <w:tcPr>
            <w:tcW w:w="890" w:type="dxa"/>
            <w:tcBorders>
              <w:top w:val="nil"/>
              <w:bottom w:val="nil"/>
            </w:tcBorders>
            <w:shd w:val="clear" w:color="auto" w:fill="auto"/>
            <w:noWrap/>
            <w:hideMark/>
          </w:tcPr>
          <w:p w14:paraId="0F344EB7" w14:textId="0F89DEE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1.018</w:t>
            </w:r>
          </w:p>
        </w:tc>
        <w:tc>
          <w:tcPr>
            <w:tcW w:w="890" w:type="dxa"/>
            <w:tcBorders>
              <w:top w:val="nil"/>
              <w:bottom w:val="nil"/>
            </w:tcBorders>
            <w:shd w:val="clear" w:color="auto" w:fill="auto"/>
            <w:noWrap/>
            <w:hideMark/>
          </w:tcPr>
          <w:p w14:paraId="64BC785A" w14:textId="7097B78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1.019</w:t>
            </w:r>
          </w:p>
        </w:tc>
        <w:tc>
          <w:tcPr>
            <w:tcW w:w="890" w:type="dxa"/>
            <w:tcBorders>
              <w:top w:val="nil"/>
              <w:bottom w:val="nil"/>
            </w:tcBorders>
            <w:shd w:val="clear" w:color="auto" w:fill="auto"/>
            <w:noWrap/>
            <w:hideMark/>
          </w:tcPr>
          <w:p w14:paraId="2D62058A" w14:textId="7CAAFBF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0.971</w:t>
            </w:r>
          </w:p>
        </w:tc>
        <w:tc>
          <w:tcPr>
            <w:tcW w:w="890" w:type="dxa"/>
            <w:tcBorders>
              <w:top w:val="nil"/>
              <w:bottom w:val="nil"/>
            </w:tcBorders>
            <w:shd w:val="clear" w:color="auto" w:fill="auto"/>
            <w:noWrap/>
            <w:hideMark/>
          </w:tcPr>
          <w:p w14:paraId="247B47BE" w14:textId="466825A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1.029</w:t>
            </w:r>
          </w:p>
        </w:tc>
        <w:tc>
          <w:tcPr>
            <w:tcW w:w="790" w:type="dxa"/>
            <w:tcBorders>
              <w:top w:val="nil"/>
              <w:bottom w:val="nil"/>
            </w:tcBorders>
            <w:shd w:val="clear" w:color="auto" w:fill="E7E6E6" w:themeFill="background2"/>
          </w:tcPr>
          <w:p w14:paraId="287BF7E0" w14:textId="49DB392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0.975</w:t>
            </w:r>
          </w:p>
        </w:tc>
        <w:tc>
          <w:tcPr>
            <w:tcW w:w="783" w:type="dxa"/>
            <w:tcBorders>
              <w:top w:val="nil"/>
              <w:bottom w:val="nil"/>
            </w:tcBorders>
          </w:tcPr>
          <w:p w14:paraId="36E11A87" w14:textId="74A29C1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1.000</w:t>
            </w:r>
          </w:p>
        </w:tc>
        <w:tc>
          <w:tcPr>
            <w:tcW w:w="784" w:type="dxa"/>
            <w:tcBorders>
              <w:top w:val="nil"/>
              <w:bottom w:val="nil"/>
            </w:tcBorders>
          </w:tcPr>
          <w:p w14:paraId="74C371D3" w14:textId="6795120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1.008</w:t>
            </w:r>
          </w:p>
        </w:tc>
        <w:tc>
          <w:tcPr>
            <w:tcW w:w="784" w:type="dxa"/>
            <w:tcBorders>
              <w:top w:val="nil"/>
              <w:bottom w:val="nil"/>
            </w:tcBorders>
          </w:tcPr>
          <w:p w14:paraId="08F2A21E" w14:textId="5FF7951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0.981</w:t>
            </w:r>
          </w:p>
        </w:tc>
        <w:tc>
          <w:tcPr>
            <w:tcW w:w="815" w:type="dxa"/>
            <w:tcBorders>
              <w:top w:val="nil"/>
              <w:bottom w:val="nil"/>
              <w:right w:val="nil"/>
            </w:tcBorders>
          </w:tcPr>
          <w:p w14:paraId="5F42131E" w14:textId="3DE2D48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0.987</w:t>
            </w:r>
          </w:p>
        </w:tc>
      </w:tr>
      <w:tr w:rsidR="0055202D" w:rsidRPr="00D67903" w14:paraId="7020FE61" w14:textId="77777777" w:rsidTr="00AC558B">
        <w:trPr>
          <w:trHeight w:val="290"/>
        </w:trPr>
        <w:tc>
          <w:tcPr>
            <w:tcW w:w="641" w:type="dxa"/>
            <w:tcBorders>
              <w:top w:val="nil"/>
              <w:left w:val="nil"/>
              <w:bottom w:val="nil"/>
            </w:tcBorders>
            <w:shd w:val="clear" w:color="auto" w:fill="auto"/>
            <w:noWrap/>
            <w:vAlign w:val="bottom"/>
            <w:hideMark/>
          </w:tcPr>
          <w:p w14:paraId="44345E69"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2006</w:t>
            </w:r>
          </w:p>
        </w:tc>
        <w:tc>
          <w:tcPr>
            <w:tcW w:w="890" w:type="dxa"/>
            <w:tcBorders>
              <w:top w:val="nil"/>
              <w:bottom w:val="nil"/>
            </w:tcBorders>
            <w:shd w:val="clear" w:color="auto" w:fill="E7E6E6" w:themeFill="background2"/>
            <w:noWrap/>
            <w:hideMark/>
          </w:tcPr>
          <w:p w14:paraId="2816ABBA" w14:textId="3D6521B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0.985</w:t>
            </w:r>
          </w:p>
        </w:tc>
        <w:tc>
          <w:tcPr>
            <w:tcW w:w="890" w:type="dxa"/>
            <w:tcBorders>
              <w:top w:val="nil"/>
              <w:bottom w:val="nil"/>
            </w:tcBorders>
            <w:shd w:val="clear" w:color="auto" w:fill="auto"/>
            <w:noWrap/>
            <w:hideMark/>
          </w:tcPr>
          <w:p w14:paraId="08C6C049" w14:textId="2D920CE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1.016</w:t>
            </w:r>
          </w:p>
        </w:tc>
        <w:tc>
          <w:tcPr>
            <w:tcW w:w="890" w:type="dxa"/>
            <w:tcBorders>
              <w:top w:val="nil"/>
              <w:bottom w:val="nil"/>
            </w:tcBorders>
            <w:shd w:val="clear" w:color="auto" w:fill="auto"/>
            <w:noWrap/>
            <w:hideMark/>
          </w:tcPr>
          <w:p w14:paraId="4BCB6F75" w14:textId="03E19CA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1.024</w:t>
            </w:r>
          </w:p>
        </w:tc>
        <w:tc>
          <w:tcPr>
            <w:tcW w:w="890" w:type="dxa"/>
            <w:tcBorders>
              <w:top w:val="nil"/>
              <w:bottom w:val="nil"/>
            </w:tcBorders>
            <w:shd w:val="clear" w:color="auto" w:fill="auto"/>
            <w:noWrap/>
            <w:hideMark/>
          </w:tcPr>
          <w:p w14:paraId="567FCB85" w14:textId="75BA0D4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0.976</w:t>
            </w:r>
          </w:p>
        </w:tc>
        <w:tc>
          <w:tcPr>
            <w:tcW w:w="890" w:type="dxa"/>
            <w:tcBorders>
              <w:top w:val="nil"/>
              <w:bottom w:val="nil"/>
            </w:tcBorders>
            <w:shd w:val="clear" w:color="auto" w:fill="auto"/>
            <w:noWrap/>
            <w:hideMark/>
          </w:tcPr>
          <w:p w14:paraId="7FAF9C5B" w14:textId="5939C4C5"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0.970</w:t>
            </w:r>
          </w:p>
        </w:tc>
        <w:tc>
          <w:tcPr>
            <w:tcW w:w="790" w:type="dxa"/>
            <w:tcBorders>
              <w:top w:val="nil"/>
              <w:bottom w:val="nil"/>
            </w:tcBorders>
            <w:shd w:val="clear" w:color="auto" w:fill="E7E6E6" w:themeFill="background2"/>
          </w:tcPr>
          <w:p w14:paraId="0F0E569B" w14:textId="064CEC9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1.021</w:t>
            </w:r>
          </w:p>
        </w:tc>
        <w:tc>
          <w:tcPr>
            <w:tcW w:w="783" w:type="dxa"/>
            <w:tcBorders>
              <w:top w:val="nil"/>
              <w:bottom w:val="nil"/>
            </w:tcBorders>
          </w:tcPr>
          <w:p w14:paraId="341D426A" w14:textId="2A6B3C9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0.999</w:t>
            </w:r>
          </w:p>
        </w:tc>
        <w:tc>
          <w:tcPr>
            <w:tcW w:w="784" w:type="dxa"/>
            <w:tcBorders>
              <w:top w:val="nil"/>
              <w:bottom w:val="nil"/>
            </w:tcBorders>
          </w:tcPr>
          <w:p w14:paraId="6189A8A2" w14:textId="0B34769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1.039</w:t>
            </w:r>
          </w:p>
        </w:tc>
        <w:tc>
          <w:tcPr>
            <w:tcW w:w="784" w:type="dxa"/>
            <w:tcBorders>
              <w:top w:val="nil"/>
              <w:bottom w:val="nil"/>
            </w:tcBorders>
          </w:tcPr>
          <w:p w14:paraId="79173DAB" w14:textId="20E46C1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0.987</w:t>
            </w:r>
          </w:p>
        </w:tc>
        <w:tc>
          <w:tcPr>
            <w:tcW w:w="815" w:type="dxa"/>
            <w:tcBorders>
              <w:top w:val="nil"/>
              <w:bottom w:val="nil"/>
              <w:right w:val="nil"/>
            </w:tcBorders>
          </w:tcPr>
          <w:p w14:paraId="0BA5BBC4" w14:textId="1324341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0.997</w:t>
            </w:r>
          </w:p>
        </w:tc>
      </w:tr>
      <w:tr w:rsidR="0055202D" w:rsidRPr="00D67903" w14:paraId="573004FA" w14:textId="77777777" w:rsidTr="00AC558B">
        <w:trPr>
          <w:trHeight w:val="290"/>
        </w:trPr>
        <w:tc>
          <w:tcPr>
            <w:tcW w:w="641" w:type="dxa"/>
            <w:tcBorders>
              <w:top w:val="nil"/>
              <w:left w:val="nil"/>
              <w:bottom w:val="nil"/>
            </w:tcBorders>
            <w:shd w:val="clear" w:color="auto" w:fill="auto"/>
            <w:noWrap/>
            <w:vAlign w:val="bottom"/>
            <w:hideMark/>
          </w:tcPr>
          <w:p w14:paraId="3CCBC793"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2007</w:t>
            </w:r>
          </w:p>
        </w:tc>
        <w:tc>
          <w:tcPr>
            <w:tcW w:w="890" w:type="dxa"/>
            <w:tcBorders>
              <w:top w:val="nil"/>
              <w:bottom w:val="nil"/>
            </w:tcBorders>
            <w:shd w:val="clear" w:color="auto" w:fill="E7E6E6" w:themeFill="background2"/>
            <w:noWrap/>
            <w:hideMark/>
          </w:tcPr>
          <w:p w14:paraId="70B42173" w14:textId="7D059B25"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1.030</w:t>
            </w:r>
          </w:p>
        </w:tc>
        <w:tc>
          <w:tcPr>
            <w:tcW w:w="890" w:type="dxa"/>
            <w:tcBorders>
              <w:top w:val="nil"/>
              <w:bottom w:val="nil"/>
            </w:tcBorders>
            <w:shd w:val="clear" w:color="auto" w:fill="auto"/>
            <w:noWrap/>
            <w:hideMark/>
          </w:tcPr>
          <w:p w14:paraId="49742AD1" w14:textId="3E39773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1.018</w:t>
            </w:r>
          </w:p>
        </w:tc>
        <w:tc>
          <w:tcPr>
            <w:tcW w:w="890" w:type="dxa"/>
            <w:tcBorders>
              <w:top w:val="nil"/>
              <w:bottom w:val="nil"/>
            </w:tcBorders>
            <w:shd w:val="clear" w:color="auto" w:fill="auto"/>
            <w:noWrap/>
            <w:hideMark/>
          </w:tcPr>
          <w:p w14:paraId="089B7F74" w14:textId="353C3C5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1.018</w:t>
            </w:r>
          </w:p>
        </w:tc>
        <w:tc>
          <w:tcPr>
            <w:tcW w:w="890" w:type="dxa"/>
            <w:tcBorders>
              <w:top w:val="nil"/>
              <w:bottom w:val="nil"/>
            </w:tcBorders>
            <w:shd w:val="clear" w:color="auto" w:fill="auto"/>
            <w:noWrap/>
            <w:hideMark/>
          </w:tcPr>
          <w:p w14:paraId="50752B5A" w14:textId="5F03390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0.986</w:t>
            </w:r>
          </w:p>
        </w:tc>
        <w:tc>
          <w:tcPr>
            <w:tcW w:w="890" w:type="dxa"/>
            <w:tcBorders>
              <w:top w:val="nil"/>
              <w:bottom w:val="nil"/>
            </w:tcBorders>
            <w:shd w:val="clear" w:color="auto" w:fill="auto"/>
            <w:noWrap/>
            <w:hideMark/>
          </w:tcPr>
          <w:p w14:paraId="3A0D0DF6" w14:textId="7427632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1.008</w:t>
            </w:r>
          </w:p>
        </w:tc>
        <w:tc>
          <w:tcPr>
            <w:tcW w:w="790" w:type="dxa"/>
            <w:tcBorders>
              <w:top w:val="nil"/>
              <w:bottom w:val="nil"/>
            </w:tcBorders>
            <w:shd w:val="clear" w:color="auto" w:fill="E7E6E6" w:themeFill="background2"/>
          </w:tcPr>
          <w:p w14:paraId="21DD7049" w14:textId="25F76EC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0.961</w:t>
            </w:r>
          </w:p>
        </w:tc>
        <w:tc>
          <w:tcPr>
            <w:tcW w:w="783" w:type="dxa"/>
            <w:tcBorders>
              <w:top w:val="nil"/>
              <w:bottom w:val="nil"/>
            </w:tcBorders>
          </w:tcPr>
          <w:p w14:paraId="472952CC" w14:textId="61031CF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0.999</w:t>
            </w:r>
          </w:p>
        </w:tc>
        <w:tc>
          <w:tcPr>
            <w:tcW w:w="784" w:type="dxa"/>
            <w:tcBorders>
              <w:top w:val="nil"/>
              <w:bottom w:val="nil"/>
            </w:tcBorders>
          </w:tcPr>
          <w:p w14:paraId="175A3161" w14:textId="291A6A5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1.031</w:t>
            </w:r>
          </w:p>
        </w:tc>
        <w:tc>
          <w:tcPr>
            <w:tcW w:w="784" w:type="dxa"/>
            <w:tcBorders>
              <w:top w:val="nil"/>
              <w:bottom w:val="nil"/>
            </w:tcBorders>
          </w:tcPr>
          <w:p w14:paraId="7A2524D6" w14:textId="1328BF11"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0.931</w:t>
            </w:r>
          </w:p>
        </w:tc>
        <w:tc>
          <w:tcPr>
            <w:tcW w:w="815" w:type="dxa"/>
            <w:tcBorders>
              <w:top w:val="nil"/>
              <w:bottom w:val="nil"/>
              <w:right w:val="nil"/>
            </w:tcBorders>
          </w:tcPr>
          <w:p w14:paraId="7E031455" w14:textId="5324BCA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1.002</w:t>
            </w:r>
          </w:p>
        </w:tc>
      </w:tr>
      <w:tr w:rsidR="0055202D" w:rsidRPr="00D67903" w14:paraId="4D10C2E4" w14:textId="77777777" w:rsidTr="00AC558B">
        <w:trPr>
          <w:trHeight w:val="290"/>
        </w:trPr>
        <w:tc>
          <w:tcPr>
            <w:tcW w:w="641" w:type="dxa"/>
            <w:tcBorders>
              <w:top w:val="nil"/>
              <w:left w:val="nil"/>
              <w:bottom w:val="nil"/>
            </w:tcBorders>
            <w:shd w:val="clear" w:color="auto" w:fill="auto"/>
            <w:noWrap/>
            <w:vAlign w:val="bottom"/>
            <w:hideMark/>
          </w:tcPr>
          <w:p w14:paraId="683BCDA6"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2008</w:t>
            </w:r>
          </w:p>
        </w:tc>
        <w:tc>
          <w:tcPr>
            <w:tcW w:w="890" w:type="dxa"/>
            <w:tcBorders>
              <w:top w:val="nil"/>
              <w:bottom w:val="nil"/>
            </w:tcBorders>
            <w:shd w:val="clear" w:color="auto" w:fill="E7E6E6" w:themeFill="background2"/>
            <w:noWrap/>
            <w:hideMark/>
          </w:tcPr>
          <w:p w14:paraId="594D498C" w14:textId="251A298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0.932</w:t>
            </w:r>
          </w:p>
        </w:tc>
        <w:tc>
          <w:tcPr>
            <w:tcW w:w="890" w:type="dxa"/>
            <w:tcBorders>
              <w:top w:val="nil"/>
              <w:bottom w:val="nil"/>
            </w:tcBorders>
            <w:shd w:val="clear" w:color="auto" w:fill="auto"/>
            <w:noWrap/>
            <w:hideMark/>
          </w:tcPr>
          <w:p w14:paraId="050B5D73" w14:textId="54256BF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1.020</w:t>
            </w:r>
          </w:p>
        </w:tc>
        <w:tc>
          <w:tcPr>
            <w:tcW w:w="890" w:type="dxa"/>
            <w:tcBorders>
              <w:top w:val="nil"/>
              <w:bottom w:val="nil"/>
            </w:tcBorders>
            <w:shd w:val="clear" w:color="auto" w:fill="auto"/>
            <w:noWrap/>
            <w:hideMark/>
          </w:tcPr>
          <w:p w14:paraId="200CB33C" w14:textId="0F21EE4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0.989</w:t>
            </w:r>
          </w:p>
        </w:tc>
        <w:tc>
          <w:tcPr>
            <w:tcW w:w="890" w:type="dxa"/>
            <w:tcBorders>
              <w:top w:val="nil"/>
              <w:bottom w:val="nil"/>
            </w:tcBorders>
            <w:shd w:val="clear" w:color="auto" w:fill="auto"/>
            <w:noWrap/>
            <w:hideMark/>
          </w:tcPr>
          <w:p w14:paraId="2244CFF4" w14:textId="42244AE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0.963</w:t>
            </w:r>
          </w:p>
        </w:tc>
        <w:tc>
          <w:tcPr>
            <w:tcW w:w="890" w:type="dxa"/>
            <w:tcBorders>
              <w:top w:val="nil"/>
              <w:bottom w:val="nil"/>
            </w:tcBorders>
            <w:shd w:val="clear" w:color="auto" w:fill="auto"/>
            <w:noWrap/>
            <w:hideMark/>
          </w:tcPr>
          <w:p w14:paraId="44EA7E3C" w14:textId="7A5CA92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0.960</w:t>
            </w:r>
          </w:p>
        </w:tc>
        <w:tc>
          <w:tcPr>
            <w:tcW w:w="790" w:type="dxa"/>
            <w:tcBorders>
              <w:top w:val="nil"/>
              <w:bottom w:val="nil"/>
            </w:tcBorders>
            <w:shd w:val="clear" w:color="auto" w:fill="E7E6E6" w:themeFill="background2"/>
          </w:tcPr>
          <w:p w14:paraId="72F99F48" w14:textId="315AF5E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0.998</w:t>
            </w:r>
          </w:p>
        </w:tc>
        <w:tc>
          <w:tcPr>
            <w:tcW w:w="783" w:type="dxa"/>
            <w:tcBorders>
              <w:top w:val="nil"/>
              <w:bottom w:val="nil"/>
            </w:tcBorders>
          </w:tcPr>
          <w:p w14:paraId="6D60850A" w14:textId="731CD0A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0.999</w:t>
            </w:r>
          </w:p>
        </w:tc>
        <w:tc>
          <w:tcPr>
            <w:tcW w:w="784" w:type="dxa"/>
            <w:tcBorders>
              <w:top w:val="nil"/>
              <w:bottom w:val="nil"/>
            </w:tcBorders>
          </w:tcPr>
          <w:p w14:paraId="2ADCC273" w14:textId="5CF0452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1.011</w:t>
            </w:r>
          </w:p>
        </w:tc>
        <w:tc>
          <w:tcPr>
            <w:tcW w:w="784" w:type="dxa"/>
            <w:tcBorders>
              <w:top w:val="nil"/>
              <w:bottom w:val="nil"/>
            </w:tcBorders>
          </w:tcPr>
          <w:p w14:paraId="721C8C51" w14:textId="277D6E2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1.000</w:t>
            </w:r>
          </w:p>
        </w:tc>
        <w:tc>
          <w:tcPr>
            <w:tcW w:w="815" w:type="dxa"/>
            <w:tcBorders>
              <w:top w:val="nil"/>
              <w:bottom w:val="nil"/>
              <w:right w:val="nil"/>
            </w:tcBorders>
          </w:tcPr>
          <w:p w14:paraId="4C3FF7C3" w14:textId="5DBCD98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0.988</w:t>
            </w:r>
          </w:p>
        </w:tc>
      </w:tr>
      <w:tr w:rsidR="0055202D" w:rsidRPr="00D67903" w14:paraId="24FC3A5C" w14:textId="77777777" w:rsidTr="00AC558B">
        <w:trPr>
          <w:trHeight w:val="290"/>
        </w:trPr>
        <w:tc>
          <w:tcPr>
            <w:tcW w:w="641" w:type="dxa"/>
            <w:tcBorders>
              <w:top w:val="nil"/>
              <w:left w:val="nil"/>
              <w:bottom w:val="nil"/>
            </w:tcBorders>
            <w:shd w:val="clear" w:color="auto" w:fill="auto"/>
            <w:noWrap/>
            <w:vAlign w:val="bottom"/>
            <w:hideMark/>
          </w:tcPr>
          <w:p w14:paraId="17117082"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2009</w:t>
            </w:r>
          </w:p>
        </w:tc>
        <w:tc>
          <w:tcPr>
            <w:tcW w:w="890" w:type="dxa"/>
            <w:tcBorders>
              <w:top w:val="nil"/>
              <w:bottom w:val="nil"/>
            </w:tcBorders>
            <w:shd w:val="clear" w:color="auto" w:fill="E7E6E6" w:themeFill="background2"/>
            <w:noWrap/>
            <w:hideMark/>
          </w:tcPr>
          <w:p w14:paraId="1315F03D" w14:textId="5359B25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0.891</w:t>
            </w:r>
          </w:p>
        </w:tc>
        <w:tc>
          <w:tcPr>
            <w:tcW w:w="890" w:type="dxa"/>
            <w:tcBorders>
              <w:top w:val="nil"/>
              <w:bottom w:val="nil"/>
            </w:tcBorders>
            <w:shd w:val="clear" w:color="auto" w:fill="auto"/>
            <w:noWrap/>
            <w:hideMark/>
          </w:tcPr>
          <w:p w14:paraId="4BAE12CD" w14:textId="1A5D0B1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1.012</w:t>
            </w:r>
          </w:p>
        </w:tc>
        <w:tc>
          <w:tcPr>
            <w:tcW w:w="890" w:type="dxa"/>
            <w:tcBorders>
              <w:top w:val="nil"/>
              <w:bottom w:val="nil"/>
            </w:tcBorders>
            <w:shd w:val="clear" w:color="auto" w:fill="auto"/>
            <w:noWrap/>
            <w:hideMark/>
          </w:tcPr>
          <w:p w14:paraId="7014169D" w14:textId="618EC79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0.950</w:t>
            </w:r>
          </w:p>
        </w:tc>
        <w:tc>
          <w:tcPr>
            <w:tcW w:w="890" w:type="dxa"/>
            <w:tcBorders>
              <w:top w:val="nil"/>
              <w:bottom w:val="nil"/>
            </w:tcBorders>
            <w:shd w:val="clear" w:color="auto" w:fill="auto"/>
            <w:noWrap/>
            <w:hideMark/>
          </w:tcPr>
          <w:p w14:paraId="4DB48490" w14:textId="5BFA7BE5"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0.964</w:t>
            </w:r>
          </w:p>
        </w:tc>
        <w:tc>
          <w:tcPr>
            <w:tcW w:w="890" w:type="dxa"/>
            <w:tcBorders>
              <w:top w:val="nil"/>
              <w:bottom w:val="nil"/>
            </w:tcBorders>
            <w:shd w:val="clear" w:color="auto" w:fill="auto"/>
            <w:noWrap/>
            <w:hideMark/>
          </w:tcPr>
          <w:p w14:paraId="214E6826" w14:textId="66C402C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0.961</w:t>
            </w:r>
          </w:p>
        </w:tc>
        <w:tc>
          <w:tcPr>
            <w:tcW w:w="790" w:type="dxa"/>
            <w:tcBorders>
              <w:top w:val="nil"/>
              <w:bottom w:val="nil"/>
            </w:tcBorders>
            <w:shd w:val="clear" w:color="auto" w:fill="E7E6E6" w:themeFill="background2"/>
          </w:tcPr>
          <w:p w14:paraId="57FE397E" w14:textId="5F17C99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0.931</w:t>
            </w:r>
          </w:p>
        </w:tc>
        <w:tc>
          <w:tcPr>
            <w:tcW w:w="783" w:type="dxa"/>
            <w:tcBorders>
              <w:top w:val="nil"/>
              <w:bottom w:val="nil"/>
            </w:tcBorders>
          </w:tcPr>
          <w:p w14:paraId="4EF07FBF" w14:textId="743DA14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0.997</w:t>
            </w:r>
          </w:p>
        </w:tc>
        <w:tc>
          <w:tcPr>
            <w:tcW w:w="784" w:type="dxa"/>
            <w:tcBorders>
              <w:top w:val="nil"/>
              <w:bottom w:val="nil"/>
            </w:tcBorders>
          </w:tcPr>
          <w:p w14:paraId="7B61AE94" w14:textId="3985EA0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0.946</w:t>
            </w:r>
          </w:p>
        </w:tc>
        <w:tc>
          <w:tcPr>
            <w:tcW w:w="784" w:type="dxa"/>
            <w:tcBorders>
              <w:top w:val="nil"/>
              <w:bottom w:val="nil"/>
            </w:tcBorders>
          </w:tcPr>
          <w:p w14:paraId="6D736F0E" w14:textId="0ABD1DE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0.995</w:t>
            </w:r>
          </w:p>
        </w:tc>
        <w:tc>
          <w:tcPr>
            <w:tcW w:w="815" w:type="dxa"/>
            <w:tcBorders>
              <w:top w:val="nil"/>
              <w:bottom w:val="nil"/>
              <w:right w:val="nil"/>
            </w:tcBorders>
          </w:tcPr>
          <w:p w14:paraId="00785FB4" w14:textId="1D9C482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0.992</w:t>
            </w:r>
          </w:p>
        </w:tc>
      </w:tr>
      <w:tr w:rsidR="0055202D" w:rsidRPr="00D67903" w14:paraId="14E67FB6" w14:textId="77777777" w:rsidTr="00AC558B">
        <w:trPr>
          <w:trHeight w:val="290"/>
        </w:trPr>
        <w:tc>
          <w:tcPr>
            <w:tcW w:w="641" w:type="dxa"/>
            <w:tcBorders>
              <w:top w:val="nil"/>
              <w:left w:val="nil"/>
              <w:bottom w:val="nil"/>
            </w:tcBorders>
            <w:shd w:val="clear" w:color="auto" w:fill="auto"/>
            <w:noWrap/>
            <w:vAlign w:val="bottom"/>
            <w:hideMark/>
          </w:tcPr>
          <w:p w14:paraId="7B579736"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2010</w:t>
            </w:r>
          </w:p>
        </w:tc>
        <w:tc>
          <w:tcPr>
            <w:tcW w:w="890" w:type="dxa"/>
            <w:tcBorders>
              <w:top w:val="nil"/>
              <w:bottom w:val="nil"/>
            </w:tcBorders>
            <w:shd w:val="clear" w:color="auto" w:fill="E7E6E6" w:themeFill="background2"/>
            <w:noWrap/>
            <w:hideMark/>
          </w:tcPr>
          <w:p w14:paraId="6A50FC5F" w14:textId="4AAB086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0.949</w:t>
            </w:r>
          </w:p>
        </w:tc>
        <w:tc>
          <w:tcPr>
            <w:tcW w:w="890" w:type="dxa"/>
            <w:tcBorders>
              <w:top w:val="nil"/>
              <w:bottom w:val="nil"/>
            </w:tcBorders>
            <w:shd w:val="clear" w:color="auto" w:fill="auto"/>
            <w:noWrap/>
            <w:hideMark/>
          </w:tcPr>
          <w:p w14:paraId="3FEEB396" w14:textId="104D4E1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1.005</w:t>
            </w:r>
          </w:p>
        </w:tc>
        <w:tc>
          <w:tcPr>
            <w:tcW w:w="890" w:type="dxa"/>
            <w:tcBorders>
              <w:top w:val="nil"/>
              <w:bottom w:val="nil"/>
            </w:tcBorders>
            <w:shd w:val="clear" w:color="auto" w:fill="auto"/>
            <w:noWrap/>
            <w:hideMark/>
          </w:tcPr>
          <w:p w14:paraId="436C4A9F" w14:textId="46E6ACC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0.996</w:t>
            </w:r>
          </w:p>
        </w:tc>
        <w:tc>
          <w:tcPr>
            <w:tcW w:w="890" w:type="dxa"/>
            <w:tcBorders>
              <w:top w:val="nil"/>
              <w:bottom w:val="nil"/>
            </w:tcBorders>
            <w:shd w:val="clear" w:color="auto" w:fill="auto"/>
            <w:noWrap/>
            <w:hideMark/>
          </w:tcPr>
          <w:p w14:paraId="2C779A64" w14:textId="1E94AB1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1.027</w:t>
            </w:r>
          </w:p>
        </w:tc>
        <w:tc>
          <w:tcPr>
            <w:tcW w:w="890" w:type="dxa"/>
            <w:tcBorders>
              <w:top w:val="nil"/>
              <w:bottom w:val="nil"/>
            </w:tcBorders>
            <w:shd w:val="clear" w:color="auto" w:fill="auto"/>
            <w:noWrap/>
            <w:hideMark/>
          </w:tcPr>
          <w:p w14:paraId="036AC600" w14:textId="3EC3E14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0.923</w:t>
            </w:r>
          </w:p>
        </w:tc>
        <w:tc>
          <w:tcPr>
            <w:tcW w:w="790" w:type="dxa"/>
            <w:tcBorders>
              <w:top w:val="nil"/>
              <w:bottom w:val="nil"/>
            </w:tcBorders>
            <w:shd w:val="clear" w:color="auto" w:fill="E7E6E6" w:themeFill="background2"/>
          </w:tcPr>
          <w:p w14:paraId="323A8F0B" w14:textId="0E01D0B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1.039</w:t>
            </w:r>
          </w:p>
        </w:tc>
        <w:tc>
          <w:tcPr>
            <w:tcW w:w="783" w:type="dxa"/>
            <w:tcBorders>
              <w:top w:val="nil"/>
              <w:bottom w:val="nil"/>
            </w:tcBorders>
          </w:tcPr>
          <w:p w14:paraId="0B8E76CF" w14:textId="2484658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0.998</w:t>
            </w:r>
          </w:p>
        </w:tc>
        <w:tc>
          <w:tcPr>
            <w:tcW w:w="784" w:type="dxa"/>
            <w:tcBorders>
              <w:top w:val="nil"/>
              <w:bottom w:val="nil"/>
            </w:tcBorders>
          </w:tcPr>
          <w:p w14:paraId="7370A68F" w14:textId="3B29FDD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1.044</w:t>
            </w:r>
          </w:p>
        </w:tc>
        <w:tc>
          <w:tcPr>
            <w:tcW w:w="784" w:type="dxa"/>
            <w:tcBorders>
              <w:top w:val="nil"/>
              <w:bottom w:val="nil"/>
            </w:tcBorders>
          </w:tcPr>
          <w:p w14:paraId="43B2A11A" w14:textId="03EDDEF5"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1.000</w:t>
            </w:r>
          </w:p>
        </w:tc>
        <w:tc>
          <w:tcPr>
            <w:tcW w:w="815" w:type="dxa"/>
            <w:tcBorders>
              <w:top w:val="nil"/>
              <w:bottom w:val="nil"/>
              <w:right w:val="nil"/>
            </w:tcBorders>
          </w:tcPr>
          <w:p w14:paraId="36DB44AD" w14:textId="25A359E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0.997</w:t>
            </w:r>
          </w:p>
        </w:tc>
      </w:tr>
      <w:tr w:rsidR="0055202D" w:rsidRPr="00D67903" w14:paraId="78F04056" w14:textId="77777777" w:rsidTr="00AC558B">
        <w:trPr>
          <w:trHeight w:val="290"/>
        </w:trPr>
        <w:tc>
          <w:tcPr>
            <w:tcW w:w="641" w:type="dxa"/>
            <w:tcBorders>
              <w:top w:val="nil"/>
              <w:left w:val="nil"/>
              <w:bottom w:val="nil"/>
            </w:tcBorders>
            <w:shd w:val="clear" w:color="auto" w:fill="auto"/>
            <w:noWrap/>
            <w:vAlign w:val="bottom"/>
            <w:hideMark/>
          </w:tcPr>
          <w:p w14:paraId="69BE1AF1"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2011</w:t>
            </w:r>
          </w:p>
        </w:tc>
        <w:tc>
          <w:tcPr>
            <w:tcW w:w="890" w:type="dxa"/>
            <w:tcBorders>
              <w:top w:val="nil"/>
              <w:bottom w:val="nil"/>
            </w:tcBorders>
            <w:shd w:val="clear" w:color="auto" w:fill="E7E6E6" w:themeFill="background2"/>
            <w:noWrap/>
            <w:hideMark/>
          </w:tcPr>
          <w:p w14:paraId="3D1C87BC" w14:textId="054A784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1.028</w:t>
            </w:r>
          </w:p>
        </w:tc>
        <w:tc>
          <w:tcPr>
            <w:tcW w:w="890" w:type="dxa"/>
            <w:tcBorders>
              <w:top w:val="nil"/>
              <w:bottom w:val="nil"/>
            </w:tcBorders>
            <w:shd w:val="clear" w:color="auto" w:fill="auto"/>
            <w:noWrap/>
            <w:hideMark/>
          </w:tcPr>
          <w:p w14:paraId="0A901EA0" w14:textId="06ED7A2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1.004</w:t>
            </w:r>
          </w:p>
        </w:tc>
        <w:tc>
          <w:tcPr>
            <w:tcW w:w="890" w:type="dxa"/>
            <w:tcBorders>
              <w:top w:val="nil"/>
              <w:bottom w:val="nil"/>
            </w:tcBorders>
            <w:shd w:val="clear" w:color="auto" w:fill="auto"/>
            <w:noWrap/>
            <w:hideMark/>
          </w:tcPr>
          <w:p w14:paraId="55F3A61B" w14:textId="4FE5BF5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0.988</w:t>
            </w:r>
          </w:p>
        </w:tc>
        <w:tc>
          <w:tcPr>
            <w:tcW w:w="890" w:type="dxa"/>
            <w:tcBorders>
              <w:top w:val="nil"/>
              <w:bottom w:val="nil"/>
            </w:tcBorders>
            <w:shd w:val="clear" w:color="auto" w:fill="auto"/>
            <w:noWrap/>
            <w:hideMark/>
          </w:tcPr>
          <w:p w14:paraId="7F384CAC" w14:textId="083227E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0.989</w:t>
            </w:r>
          </w:p>
        </w:tc>
        <w:tc>
          <w:tcPr>
            <w:tcW w:w="890" w:type="dxa"/>
            <w:tcBorders>
              <w:top w:val="nil"/>
              <w:bottom w:val="nil"/>
            </w:tcBorders>
            <w:shd w:val="clear" w:color="auto" w:fill="auto"/>
            <w:noWrap/>
            <w:hideMark/>
          </w:tcPr>
          <w:p w14:paraId="2DE24DC8" w14:textId="2FBAD89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1.048</w:t>
            </w:r>
          </w:p>
        </w:tc>
        <w:tc>
          <w:tcPr>
            <w:tcW w:w="790" w:type="dxa"/>
            <w:tcBorders>
              <w:top w:val="nil"/>
              <w:bottom w:val="nil"/>
            </w:tcBorders>
            <w:shd w:val="clear" w:color="auto" w:fill="E7E6E6" w:themeFill="background2"/>
          </w:tcPr>
          <w:p w14:paraId="5DCECFB1" w14:textId="4C3C5E3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0.975</w:t>
            </w:r>
          </w:p>
        </w:tc>
        <w:tc>
          <w:tcPr>
            <w:tcW w:w="783" w:type="dxa"/>
            <w:tcBorders>
              <w:top w:val="nil"/>
              <w:bottom w:val="nil"/>
            </w:tcBorders>
          </w:tcPr>
          <w:p w14:paraId="62029191" w14:textId="362A770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0.981</w:t>
            </w:r>
          </w:p>
        </w:tc>
        <w:tc>
          <w:tcPr>
            <w:tcW w:w="784" w:type="dxa"/>
            <w:tcBorders>
              <w:top w:val="nil"/>
              <w:bottom w:val="nil"/>
            </w:tcBorders>
          </w:tcPr>
          <w:p w14:paraId="17974078" w14:textId="7DF333C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1.060</w:t>
            </w:r>
          </w:p>
        </w:tc>
        <w:tc>
          <w:tcPr>
            <w:tcW w:w="784" w:type="dxa"/>
            <w:tcBorders>
              <w:top w:val="nil"/>
              <w:bottom w:val="nil"/>
            </w:tcBorders>
          </w:tcPr>
          <w:p w14:paraId="2090F870" w14:textId="6CBA804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0.928</w:t>
            </w:r>
          </w:p>
        </w:tc>
        <w:tc>
          <w:tcPr>
            <w:tcW w:w="815" w:type="dxa"/>
            <w:tcBorders>
              <w:top w:val="nil"/>
              <w:bottom w:val="nil"/>
              <w:right w:val="nil"/>
            </w:tcBorders>
          </w:tcPr>
          <w:p w14:paraId="7497A70B" w14:textId="660B976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1.011</w:t>
            </w:r>
          </w:p>
        </w:tc>
      </w:tr>
      <w:tr w:rsidR="0055202D" w:rsidRPr="00D67903" w14:paraId="68D5EC15" w14:textId="77777777" w:rsidTr="00AC558B">
        <w:trPr>
          <w:trHeight w:val="290"/>
        </w:trPr>
        <w:tc>
          <w:tcPr>
            <w:tcW w:w="641" w:type="dxa"/>
            <w:tcBorders>
              <w:top w:val="nil"/>
              <w:left w:val="nil"/>
              <w:bottom w:val="nil"/>
            </w:tcBorders>
            <w:shd w:val="clear" w:color="auto" w:fill="auto"/>
            <w:noWrap/>
            <w:vAlign w:val="bottom"/>
            <w:hideMark/>
          </w:tcPr>
          <w:p w14:paraId="33E12073"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2012</w:t>
            </w:r>
          </w:p>
        </w:tc>
        <w:tc>
          <w:tcPr>
            <w:tcW w:w="890" w:type="dxa"/>
            <w:tcBorders>
              <w:top w:val="nil"/>
              <w:bottom w:val="nil"/>
            </w:tcBorders>
            <w:shd w:val="clear" w:color="auto" w:fill="E7E6E6" w:themeFill="background2"/>
            <w:noWrap/>
            <w:hideMark/>
          </w:tcPr>
          <w:p w14:paraId="5EA6A355" w14:textId="3E0ED21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0.993</w:t>
            </w:r>
          </w:p>
        </w:tc>
        <w:tc>
          <w:tcPr>
            <w:tcW w:w="890" w:type="dxa"/>
            <w:tcBorders>
              <w:top w:val="nil"/>
              <w:bottom w:val="nil"/>
            </w:tcBorders>
            <w:shd w:val="clear" w:color="auto" w:fill="auto"/>
            <w:noWrap/>
            <w:hideMark/>
          </w:tcPr>
          <w:p w14:paraId="39D4DFA0" w14:textId="27AA1E2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1.003</w:t>
            </w:r>
          </w:p>
        </w:tc>
        <w:tc>
          <w:tcPr>
            <w:tcW w:w="890" w:type="dxa"/>
            <w:tcBorders>
              <w:top w:val="nil"/>
              <w:bottom w:val="nil"/>
            </w:tcBorders>
            <w:shd w:val="clear" w:color="auto" w:fill="auto"/>
            <w:noWrap/>
            <w:hideMark/>
          </w:tcPr>
          <w:p w14:paraId="3693DE9C" w14:textId="3DE225A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0.967</w:t>
            </w:r>
          </w:p>
        </w:tc>
        <w:tc>
          <w:tcPr>
            <w:tcW w:w="890" w:type="dxa"/>
            <w:tcBorders>
              <w:top w:val="nil"/>
              <w:bottom w:val="nil"/>
            </w:tcBorders>
            <w:shd w:val="clear" w:color="auto" w:fill="auto"/>
            <w:noWrap/>
            <w:hideMark/>
          </w:tcPr>
          <w:p w14:paraId="61CFC636" w14:textId="5677603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1.025</w:t>
            </w:r>
          </w:p>
        </w:tc>
        <w:tc>
          <w:tcPr>
            <w:tcW w:w="890" w:type="dxa"/>
            <w:tcBorders>
              <w:top w:val="nil"/>
              <w:bottom w:val="nil"/>
            </w:tcBorders>
            <w:shd w:val="clear" w:color="auto" w:fill="auto"/>
            <w:noWrap/>
            <w:hideMark/>
          </w:tcPr>
          <w:p w14:paraId="7AF3E0A7" w14:textId="4A3BBCC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0.998</w:t>
            </w:r>
          </w:p>
        </w:tc>
        <w:tc>
          <w:tcPr>
            <w:tcW w:w="790" w:type="dxa"/>
            <w:tcBorders>
              <w:top w:val="nil"/>
              <w:bottom w:val="nil"/>
            </w:tcBorders>
            <w:shd w:val="clear" w:color="auto" w:fill="E7E6E6" w:themeFill="background2"/>
          </w:tcPr>
          <w:p w14:paraId="78FE5B1A" w14:textId="517950B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1.012</w:t>
            </w:r>
          </w:p>
        </w:tc>
        <w:tc>
          <w:tcPr>
            <w:tcW w:w="783" w:type="dxa"/>
            <w:tcBorders>
              <w:top w:val="nil"/>
              <w:bottom w:val="nil"/>
            </w:tcBorders>
          </w:tcPr>
          <w:p w14:paraId="50F9FF23" w14:textId="6C07361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1.001</w:t>
            </w:r>
          </w:p>
        </w:tc>
        <w:tc>
          <w:tcPr>
            <w:tcW w:w="784" w:type="dxa"/>
            <w:tcBorders>
              <w:top w:val="nil"/>
              <w:bottom w:val="nil"/>
            </w:tcBorders>
          </w:tcPr>
          <w:p w14:paraId="21BDC3F3" w14:textId="6B48305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1.003</w:t>
            </w:r>
          </w:p>
        </w:tc>
        <w:tc>
          <w:tcPr>
            <w:tcW w:w="784" w:type="dxa"/>
            <w:tcBorders>
              <w:top w:val="nil"/>
              <w:bottom w:val="nil"/>
            </w:tcBorders>
          </w:tcPr>
          <w:p w14:paraId="0812F9C7" w14:textId="7E7DAAF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1.009</w:t>
            </w:r>
          </w:p>
        </w:tc>
        <w:tc>
          <w:tcPr>
            <w:tcW w:w="815" w:type="dxa"/>
            <w:tcBorders>
              <w:top w:val="nil"/>
              <w:bottom w:val="nil"/>
              <w:right w:val="nil"/>
            </w:tcBorders>
          </w:tcPr>
          <w:p w14:paraId="5B04F91E" w14:textId="56534FA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0.999</w:t>
            </w:r>
          </w:p>
        </w:tc>
      </w:tr>
      <w:tr w:rsidR="0055202D" w:rsidRPr="00D67903" w14:paraId="1B8019C2" w14:textId="77777777" w:rsidTr="00AC558B">
        <w:trPr>
          <w:trHeight w:val="290"/>
        </w:trPr>
        <w:tc>
          <w:tcPr>
            <w:tcW w:w="641" w:type="dxa"/>
            <w:tcBorders>
              <w:top w:val="nil"/>
              <w:left w:val="nil"/>
              <w:bottom w:val="nil"/>
            </w:tcBorders>
            <w:shd w:val="clear" w:color="auto" w:fill="auto"/>
            <w:noWrap/>
            <w:vAlign w:val="bottom"/>
            <w:hideMark/>
          </w:tcPr>
          <w:p w14:paraId="71CEC8F4"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2013</w:t>
            </w:r>
          </w:p>
        </w:tc>
        <w:tc>
          <w:tcPr>
            <w:tcW w:w="890" w:type="dxa"/>
            <w:tcBorders>
              <w:top w:val="nil"/>
              <w:bottom w:val="nil"/>
            </w:tcBorders>
            <w:shd w:val="clear" w:color="auto" w:fill="E7E6E6" w:themeFill="background2"/>
            <w:noWrap/>
            <w:hideMark/>
          </w:tcPr>
          <w:p w14:paraId="250024FD" w14:textId="525CEF9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0.896</w:t>
            </w:r>
          </w:p>
        </w:tc>
        <w:tc>
          <w:tcPr>
            <w:tcW w:w="890" w:type="dxa"/>
            <w:tcBorders>
              <w:top w:val="nil"/>
              <w:bottom w:val="nil"/>
            </w:tcBorders>
            <w:shd w:val="clear" w:color="auto" w:fill="auto"/>
            <w:noWrap/>
            <w:hideMark/>
          </w:tcPr>
          <w:p w14:paraId="1197CA91" w14:textId="75748BE5"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0.998</w:t>
            </w:r>
          </w:p>
        </w:tc>
        <w:tc>
          <w:tcPr>
            <w:tcW w:w="890" w:type="dxa"/>
            <w:tcBorders>
              <w:top w:val="nil"/>
              <w:bottom w:val="nil"/>
            </w:tcBorders>
            <w:shd w:val="clear" w:color="auto" w:fill="auto"/>
            <w:noWrap/>
            <w:hideMark/>
          </w:tcPr>
          <w:p w14:paraId="0742C930" w14:textId="62D31C95"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0.988</w:t>
            </w:r>
          </w:p>
        </w:tc>
        <w:tc>
          <w:tcPr>
            <w:tcW w:w="890" w:type="dxa"/>
            <w:tcBorders>
              <w:top w:val="nil"/>
              <w:bottom w:val="nil"/>
            </w:tcBorders>
            <w:shd w:val="clear" w:color="auto" w:fill="auto"/>
            <w:noWrap/>
            <w:hideMark/>
          </w:tcPr>
          <w:p w14:paraId="282CE5DE" w14:textId="0A222D9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0.964</w:t>
            </w:r>
          </w:p>
        </w:tc>
        <w:tc>
          <w:tcPr>
            <w:tcW w:w="890" w:type="dxa"/>
            <w:tcBorders>
              <w:top w:val="nil"/>
              <w:bottom w:val="nil"/>
            </w:tcBorders>
            <w:shd w:val="clear" w:color="auto" w:fill="auto"/>
            <w:noWrap/>
            <w:hideMark/>
          </w:tcPr>
          <w:p w14:paraId="5D7B4EA9" w14:textId="7CE1F49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0.943</w:t>
            </w:r>
          </w:p>
        </w:tc>
        <w:tc>
          <w:tcPr>
            <w:tcW w:w="790" w:type="dxa"/>
            <w:tcBorders>
              <w:top w:val="nil"/>
              <w:bottom w:val="nil"/>
            </w:tcBorders>
            <w:shd w:val="clear" w:color="auto" w:fill="E7E6E6" w:themeFill="background2"/>
          </w:tcPr>
          <w:p w14:paraId="5E85A181" w14:textId="048ED931"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1.032</w:t>
            </w:r>
          </w:p>
        </w:tc>
        <w:tc>
          <w:tcPr>
            <w:tcW w:w="783" w:type="dxa"/>
            <w:tcBorders>
              <w:top w:val="nil"/>
              <w:bottom w:val="nil"/>
            </w:tcBorders>
          </w:tcPr>
          <w:p w14:paraId="4791B239" w14:textId="39FF5B5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1.002</w:t>
            </w:r>
          </w:p>
        </w:tc>
        <w:tc>
          <w:tcPr>
            <w:tcW w:w="784" w:type="dxa"/>
            <w:tcBorders>
              <w:top w:val="nil"/>
              <w:bottom w:val="nil"/>
            </w:tcBorders>
          </w:tcPr>
          <w:p w14:paraId="3B6EFED0" w14:textId="3908801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1.002</w:t>
            </w:r>
          </w:p>
        </w:tc>
        <w:tc>
          <w:tcPr>
            <w:tcW w:w="784" w:type="dxa"/>
            <w:tcBorders>
              <w:top w:val="nil"/>
              <w:bottom w:val="nil"/>
            </w:tcBorders>
          </w:tcPr>
          <w:p w14:paraId="2C323DB1" w14:textId="7E489BE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1.024</w:t>
            </w:r>
          </w:p>
        </w:tc>
        <w:tc>
          <w:tcPr>
            <w:tcW w:w="815" w:type="dxa"/>
            <w:tcBorders>
              <w:top w:val="nil"/>
              <w:bottom w:val="nil"/>
              <w:right w:val="nil"/>
            </w:tcBorders>
          </w:tcPr>
          <w:p w14:paraId="1E7577C2" w14:textId="1FA570B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1.003</w:t>
            </w:r>
          </w:p>
        </w:tc>
      </w:tr>
      <w:tr w:rsidR="0055202D" w:rsidRPr="00D67903" w14:paraId="33681DD2" w14:textId="77777777" w:rsidTr="00AC558B">
        <w:trPr>
          <w:trHeight w:val="290"/>
        </w:trPr>
        <w:tc>
          <w:tcPr>
            <w:tcW w:w="641" w:type="dxa"/>
            <w:tcBorders>
              <w:top w:val="nil"/>
              <w:left w:val="nil"/>
              <w:bottom w:val="nil"/>
            </w:tcBorders>
            <w:shd w:val="clear" w:color="auto" w:fill="auto"/>
            <w:noWrap/>
            <w:vAlign w:val="bottom"/>
            <w:hideMark/>
          </w:tcPr>
          <w:p w14:paraId="1C68D782"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2014</w:t>
            </w:r>
          </w:p>
        </w:tc>
        <w:tc>
          <w:tcPr>
            <w:tcW w:w="890" w:type="dxa"/>
            <w:tcBorders>
              <w:top w:val="nil"/>
              <w:bottom w:val="nil"/>
            </w:tcBorders>
            <w:shd w:val="clear" w:color="auto" w:fill="E7E6E6" w:themeFill="background2"/>
            <w:noWrap/>
            <w:hideMark/>
          </w:tcPr>
          <w:p w14:paraId="7D205A42" w14:textId="02139FA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0.991</w:t>
            </w:r>
          </w:p>
        </w:tc>
        <w:tc>
          <w:tcPr>
            <w:tcW w:w="890" w:type="dxa"/>
            <w:tcBorders>
              <w:top w:val="nil"/>
              <w:bottom w:val="nil"/>
            </w:tcBorders>
            <w:shd w:val="clear" w:color="auto" w:fill="auto"/>
            <w:noWrap/>
            <w:hideMark/>
          </w:tcPr>
          <w:p w14:paraId="5D33937B" w14:textId="78C8EBF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0.995</w:t>
            </w:r>
          </w:p>
        </w:tc>
        <w:tc>
          <w:tcPr>
            <w:tcW w:w="890" w:type="dxa"/>
            <w:tcBorders>
              <w:top w:val="nil"/>
              <w:bottom w:val="nil"/>
            </w:tcBorders>
            <w:shd w:val="clear" w:color="auto" w:fill="auto"/>
            <w:noWrap/>
            <w:hideMark/>
          </w:tcPr>
          <w:p w14:paraId="1EADB91E" w14:textId="2F44763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1.019</w:t>
            </w:r>
          </w:p>
        </w:tc>
        <w:tc>
          <w:tcPr>
            <w:tcW w:w="890" w:type="dxa"/>
            <w:tcBorders>
              <w:top w:val="nil"/>
              <w:bottom w:val="nil"/>
            </w:tcBorders>
            <w:shd w:val="clear" w:color="auto" w:fill="auto"/>
            <w:noWrap/>
            <w:hideMark/>
          </w:tcPr>
          <w:p w14:paraId="09A368CD" w14:textId="54553BB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0.967</w:t>
            </w:r>
          </w:p>
        </w:tc>
        <w:tc>
          <w:tcPr>
            <w:tcW w:w="890" w:type="dxa"/>
            <w:tcBorders>
              <w:top w:val="nil"/>
              <w:bottom w:val="nil"/>
            </w:tcBorders>
            <w:shd w:val="clear" w:color="auto" w:fill="auto"/>
            <w:noWrap/>
            <w:hideMark/>
          </w:tcPr>
          <w:p w14:paraId="5CF83D17" w14:textId="29967B5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1.010</w:t>
            </w:r>
          </w:p>
        </w:tc>
        <w:tc>
          <w:tcPr>
            <w:tcW w:w="790" w:type="dxa"/>
            <w:tcBorders>
              <w:top w:val="nil"/>
              <w:bottom w:val="nil"/>
            </w:tcBorders>
            <w:shd w:val="clear" w:color="auto" w:fill="E7E6E6" w:themeFill="background2"/>
          </w:tcPr>
          <w:p w14:paraId="3A4C732C" w14:textId="5BB25D3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0.942</w:t>
            </w:r>
          </w:p>
        </w:tc>
        <w:tc>
          <w:tcPr>
            <w:tcW w:w="783" w:type="dxa"/>
            <w:tcBorders>
              <w:top w:val="nil"/>
              <w:bottom w:val="nil"/>
            </w:tcBorders>
          </w:tcPr>
          <w:p w14:paraId="21EB3454" w14:textId="763686B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1.003</w:t>
            </w:r>
          </w:p>
        </w:tc>
        <w:tc>
          <w:tcPr>
            <w:tcW w:w="784" w:type="dxa"/>
            <w:tcBorders>
              <w:top w:val="nil"/>
              <w:bottom w:val="nil"/>
            </w:tcBorders>
          </w:tcPr>
          <w:p w14:paraId="57435015" w14:textId="25B85FD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1.019</w:t>
            </w:r>
          </w:p>
        </w:tc>
        <w:tc>
          <w:tcPr>
            <w:tcW w:w="784" w:type="dxa"/>
            <w:tcBorders>
              <w:top w:val="nil"/>
              <w:bottom w:val="nil"/>
            </w:tcBorders>
          </w:tcPr>
          <w:p w14:paraId="4C64201A" w14:textId="6BA25EF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0.938</w:t>
            </w:r>
          </w:p>
        </w:tc>
        <w:tc>
          <w:tcPr>
            <w:tcW w:w="815" w:type="dxa"/>
            <w:tcBorders>
              <w:top w:val="nil"/>
              <w:bottom w:val="nil"/>
              <w:right w:val="nil"/>
            </w:tcBorders>
          </w:tcPr>
          <w:p w14:paraId="3830638E" w14:textId="77BEE81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0.982</w:t>
            </w:r>
          </w:p>
        </w:tc>
      </w:tr>
      <w:tr w:rsidR="0055202D" w:rsidRPr="00D67903" w14:paraId="1BAE076F" w14:textId="77777777" w:rsidTr="00AC558B">
        <w:trPr>
          <w:trHeight w:val="290"/>
        </w:trPr>
        <w:tc>
          <w:tcPr>
            <w:tcW w:w="641" w:type="dxa"/>
            <w:tcBorders>
              <w:top w:val="nil"/>
              <w:left w:val="nil"/>
              <w:bottom w:val="nil"/>
            </w:tcBorders>
            <w:shd w:val="clear" w:color="auto" w:fill="auto"/>
            <w:noWrap/>
            <w:vAlign w:val="bottom"/>
            <w:hideMark/>
          </w:tcPr>
          <w:p w14:paraId="3C4CD5F5"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2015</w:t>
            </w:r>
          </w:p>
        </w:tc>
        <w:tc>
          <w:tcPr>
            <w:tcW w:w="890" w:type="dxa"/>
            <w:tcBorders>
              <w:top w:val="nil"/>
              <w:bottom w:val="nil"/>
            </w:tcBorders>
            <w:shd w:val="clear" w:color="auto" w:fill="E7E6E6" w:themeFill="background2"/>
            <w:noWrap/>
            <w:hideMark/>
          </w:tcPr>
          <w:p w14:paraId="6AB8FB95" w14:textId="6D3177E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1.059</w:t>
            </w:r>
          </w:p>
        </w:tc>
        <w:tc>
          <w:tcPr>
            <w:tcW w:w="890" w:type="dxa"/>
            <w:tcBorders>
              <w:top w:val="nil"/>
              <w:bottom w:val="nil"/>
            </w:tcBorders>
            <w:shd w:val="clear" w:color="auto" w:fill="auto"/>
            <w:noWrap/>
            <w:hideMark/>
          </w:tcPr>
          <w:p w14:paraId="55986C54" w14:textId="0D6BB9C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0.999</w:t>
            </w:r>
          </w:p>
        </w:tc>
        <w:tc>
          <w:tcPr>
            <w:tcW w:w="890" w:type="dxa"/>
            <w:tcBorders>
              <w:top w:val="nil"/>
              <w:bottom w:val="nil"/>
            </w:tcBorders>
            <w:shd w:val="clear" w:color="auto" w:fill="auto"/>
            <w:noWrap/>
            <w:hideMark/>
          </w:tcPr>
          <w:p w14:paraId="5380AD41" w14:textId="343D32D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1.040</w:t>
            </w:r>
          </w:p>
        </w:tc>
        <w:tc>
          <w:tcPr>
            <w:tcW w:w="890" w:type="dxa"/>
            <w:tcBorders>
              <w:top w:val="nil"/>
              <w:bottom w:val="nil"/>
            </w:tcBorders>
            <w:shd w:val="clear" w:color="auto" w:fill="auto"/>
            <w:noWrap/>
            <w:hideMark/>
          </w:tcPr>
          <w:p w14:paraId="0A836F2F" w14:textId="3801AF5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0.975</w:t>
            </w:r>
          </w:p>
        </w:tc>
        <w:tc>
          <w:tcPr>
            <w:tcW w:w="890" w:type="dxa"/>
            <w:tcBorders>
              <w:top w:val="nil"/>
              <w:bottom w:val="nil"/>
            </w:tcBorders>
            <w:shd w:val="clear" w:color="auto" w:fill="auto"/>
            <w:noWrap/>
            <w:hideMark/>
          </w:tcPr>
          <w:p w14:paraId="6F4D0602" w14:textId="199F015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1.046</w:t>
            </w:r>
          </w:p>
        </w:tc>
        <w:tc>
          <w:tcPr>
            <w:tcW w:w="790" w:type="dxa"/>
            <w:tcBorders>
              <w:top w:val="nil"/>
              <w:bottom w:val="nil"/>
            </w:tcBorders>
            <w:shd w:val="clear" w:color="auto" w:fill="E7E6E6" w:themeFill="background2"/>
          </w:tcPr>
          <w:p w14:paraId="78EC73CF" w14:textId="31F7089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1.006</w:t>
            </w:r>
          </w:p>
        </w:tc>
        <w:tc>
          <w:tcPr>
            <w:tcW w:w="783" w:type="dxa"/>
            <w:tcBorders>
              <w:top w:val="nil"/>
              <w:bottom w:val="nil"/>
            </w:tcBorders>
          </w:tcPr>
          <w:p w14:paraId="2223BA6C" w14:textId="07385D2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1.005</w:t>
            </w:r>
          </w:p>
        </w:tc>
        <w:tc>
          <w:tcPr>
            <w:tcW w:w="784" w:type="dxa"/>
            <w:tcBorders>
              <w:top w:val="nil"/>
              <w:bottom w:val="nil"/>
            </w:tcBorders>
          </w:tcPr>
          <w:p w14:paraId="4FB37C34" w14:textId="54416DC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1.010</w:t>
            </w:r>
          </w:p>
        </w:tc>
        <w:tc>
          <w:tcPr>
            <w:tcW w:w="784" w:type="dxa"/>
            <w:tcBorders>
              <w:top w:val="nil"/>
              <w:bottom w:val="nil"/>
            </w:tcBorders>
          </w:tcPr>
          <w:p w14:paraId="33B0AEDC" w14:textId="010CB73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1.004</w:t>
            </w:r>
          </w:p>
        </w:tc>
        <w:tc>
          <w:tcPr>
            <w:tcW w:w="815" w:type="dxa"/>
            <w:tcBorders>
              <w:top w:val="nil"/>
              <w:bottom w:val="nil"/>
              <w:right w:val="nil"/>
            </w:tcBorders>
          </w:tcPr>
          <w:p w14:paraId="1C30EAD7" w14:textId="497D39D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0.988</w:t>
            </w:r>
          </w:p>
        </w:tc>
      </w:tr>
      <w:tr w:rsidR="0055202D" w:rsidRPr="00D67903" w14:paraId="324EB4DD" w14:textId="77777777" w:rsidTr="00AC558B">
        <w:trPr>
          <w:trHeight w:val="290"/>
        </w:trPr>
        <w:tc>
          <w:tcPr>
            <w:tcW w:w="641" w:type="dxa"/>
            <w:tcBorders>
              <w:top w:val="nil"/>
              <w:left w:val="nil"/>
              <w:bottom w:val="nil"/>
            </w:tcBorders>
            <w:shd w:val="clear" w:color="auto" w:fill="auto"/>
            <w:noWrap/>
            <w:vAlign w:val="bottom"/>
            <w:hideMark/>
          </w:tcPr>
          <w:p w14:paraId="7E5FF22E"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2016</w:t>
            </w:r>
          </w:p>
        </w:tc>
        <w:tc>
          <w:tcPr>
            <w:tcW w:w="890" w:type="dxa"/>
            <w:tcBorders>
              <w:top w:val="nil"/>
              <w:bottom w:val="nil"/>
            </w:tcBorders>
            <w:shd w:val="clear" w:color="auto" w:fill="E7E6E6" w:themeFill="background2"/>
            <w:noWrap/>
            <w:hideMark/>
          </w:tcPr>
          <w:p w14:paraId="41DACC24" w14:textId="448F9991"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0.975</w:t>
            </w:r>
          </w:p>
        </w:tc>
        <w:tc>
          <w:tcPr>
            <w:tcW w:w="890" w:type="dxa"/>
            <w:tcBorders>
              <w:top w:val="nil"/>
              <w:bottom w:val="nil"/>
            </w:tcBorders>
            <w:shd w:val="clear" w:color="auto" w:fill="auto"/>
            <w:noWrap/>
            <w:hideMark/>
          </w:tcPr>
          <w:p w14:paraId="01D65D9E" w14:textId="4CE376C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1.000</w:t>
            </w:r>
          </w:p>
        </w:tc>
        <w:tc>
          <w:tcPr>
            <w:tcW w:w="890" w:type="dxa"/>
            <w:tcBorders>
              <w:top w:val="nil"/>
              <w:bottom w:val="nil"/>
            </w:tcBorders>
            <w:shd w:val="clear" w:color="auto" w:fill="auto"/>
            <w:noWrap/>
            <w:hideMark/>
          </w:tcPr>
          <w:p w14:paraId="17D23664" w14:textId="6D52C61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1.031</w:t>
            </w:r>
          </w:p>
        </w:tc>
        <w:tc>
          <w:tcPr>
            <w:tcW w:w="890" w:type="dxa"/>
            <w:tcBorders>
              <w:top w:val="nil"/>
              <w:bottom w:val="nil"/>
            </w:tcBorders>
            <w:shd w:val="clear" w:color="auto" w:fill="auto"/>
            <w:noWrap/>
            <w:hideMark/>
          </w:tcPr>
          <w:p w14:paraId="767D5273" w14:textId="7382479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0.979</w:t>
            </w:r>
          </w:p>
        </w:tc>
        <w:tc>
          <w:tcPr>
            <w:tcW w:w="890" w:type="dxa"/>
            <w:tcBorders>
              <w:top w:val="nil"/>
              <w:bottom w:val="nil"/>
            </w:tcBorders>
            <w:shd w:val="clear" w:color="auto" w:fill="auto"/>
            <w:noWrap/>
            <w:hideMark/>
          </w:tcPr>
          <w:p w14:paraId="40D0F87E" w14:textId="1953708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0.966</w:t>
            </w:r>
          </w:p>
        </w:tc>
        <w:tc>
          <w:tcPr>
            <w:tcW w:w="790" w:type="dxa"/>
            <w:tcBorders>
              <w:top w:val="nil"/>
              <w:bottom w:val="nil"/>
            </w:tcBorders>
            <w:shd w:val="clear" w:color="auto" w:fill="E7E6E6" w:themeFill="background2"/>
          </w:tcPr>
          <w:p w14:paraId="2BD9D736" w14:textId="2658ACC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1.020</w:t>
            </w:r>
          </w:p>
        </w:tc>
        <w:tc>
          <w:tcPr>
            <w:tcW w:w="783" w:type="dxa"/>
            <w:tcBorders>
              <w:top w:val="nil"/>
              <w:bottom w:val="nil"/>
            </w:tcBorders>
          </w:tcPr>
          <w:p w14:paraId="5F21F97F" w14:textId="061C162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1.012</w:t>
            </w:r>
          </w:p>
        </w:tc>
        <w:tc>
          <w:tcPr>
            <w:tcW w:w="784" w:type="dxa"/>
            <w:tcBorders>
              <w:top w:val="nil"/>
              <w:bottom w:val="nil"/>
            </w:tcBorders>
          </w:tcPr>
          <w:p w14:paraId="356D76E5" w14:textId="0FE1162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1.010</w:t>
            </w:r>
          </w:p>
        </w:tc>
        <w:tc>
          <w:tcPr>
            <w:tcW w:w="784" w:type="dxa"/>
            <w:tcBorders>
              <w:top w:val="nil"/>
              <w:bottom w:val="nil"/>
            </w:tcBorders>
          </w:tcPr>
          <w:p w14:paraId="43770F66" w14:textId="5B4C9BC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0.994</w:t>
            </w:r>
          </w:p>
        </w:tc>
        <w:tc>
          <w:tcPr>
            <w:tcW w:w="815" w:type="dxa"/>
            <w:tcBorders>
              <w:top w:val="nil"/>
              <w:bottom w:val="nil"/>
              <w:right w:val="nil"/>
            </w:tcBorders>
          </w:tcPr>
          <w:p w14:paraId="49969E96" w14:textId="3A1AF80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1.003</w:t>
            </w:r>
          </w:p>
        </w:tc>
      </w:tr>
      <w:tr w:rsidR="0055202D" w:rsidRPr="00D67903" w14:paraId="39B112AA" w14:textId="77777777" w:rsidTr="00AC558B">
        <w:trPr>
          <w:trHeight w:val="290"/>
        </w:trPr>
        <w:tc>
          <w:tcPr>
            <w:tcW w:w="641" w:type="dxa"/>
            <w:tcBorders>
              <w:top w:val="nil"/>
              <w:left w:val="nil"/>
              <w:bottom w:val="nil"/>
            </w:tcBorders>
            <w:shd w:val="clear" w:color="auto" w:fill="auto"/>
            <w:noWrap/>
            <w:vAlign w:val="bottom"/>
            <w:hideMark/>
          </w:tcPr>
          <w:p w14:paraId="107D49FF"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2017</w:t>
            </w:r>
          </w:p>
        </w:tc>
        <w:tc>
          <w:tcPr>
            <w:tcW w:w="890" w:type="dxa"/>
            <w:tcBorders>
              <w:top w:val="nil"/>
              <w:bottom w:val="nil"/>
            </w:tcBorders>
            <w:shd w:val="clear" w:color="auto" w:fill="E7E6E6" w:themeFill="background2"/>
            <w:noWrap/>
            <w:hideMark/>
          </w:tcPr>
          <w:p w14:paraId="318C6898" w14:textId="1AF480C1"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1.063</w:t>
            </w:r>
          </w:p>
        </w:tc>
        <w:tc>
          <w:tcPr>
            <w:tcW w:w="890" w:type="dxa"/>
            <w:tcBorders>
              <w:top w:val="nil"/>
              <w:bottom w:val="nil"/>
            </w:tcBorders>
            <w:shd w:val="clear" w:color="auto" w:fill="auto"/>
            <w:noWrap/>
            <w:hideMark/>
          </w:tcPr>
          <w:p w14:paraId="72956875" w14:textId="55AB24D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1.002</w:t>
            </w:r>
          </w:p>
        </w:tc>
        <w:tc>
          <w:tcPr>
            <w:tcW w:w="890" w:type="dxa"/>
            <w:tcBorders>
              <w:top w:val="nil"/>
              <w:bottom w:val="nil"/>
            </w:tcBorders>
            <w:shd w:val="clear" w:color="auto" w:fill="auto"/>
            <w:noWrap/>
            <w:hideMark/>
          </w:tcPr>
          <w:p w14:paraId="68D53727" w14:textId="49160E9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1.028</w:t>
            </w:r>
          </w:p>
        </w:tc>
        <w:tc>
          <w:tcPr>
            <w:tcW w:w="890" w:type="dxa"/>
            <w:tcBorders>
              <w:top w:val="nil"/>
              <w:bottom w:val="nil"/>
            </w:tcBorders>
            <w:shd w:val="clear" w:color="auto" w:fill="auto"/>
            <w:noWrap/>
            <w:hideMark/>
          </w:tcPr>
          <w:p w14:paraId="56B1CDAD" w14:textId="6E7F28F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0.983</w:t>
            </w:r>
          </w:p>
        </w:tc>
        <w:tc>
          <w:tcPr>
            <w:tcW w:w="890" w:type="dxa"/>
            <w:tcBorders>
              <w:top w:val="nil"/>
              <w:bottom w:val="nil"/>
            </w:tcBorders>
            <w:shd w:val="clear" w:color="auto" w:fill="auto"/>
            <w:noWrap/>
            <w:hideMark/>
          </w:tcPr>
          <w:p w14:paraId="7E2C3F02" w14:textId="628B28D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1.050</w:t>
            </w:r>
          </w:p>
        </w:tc>
        <w:tc>
          <w:tcPr>
            <w:tcW w:w="790" w:type="dxa"/>
            <w:tcBorders>
              <w:top w:val="nil"/>
              <w:bottom w:val="nil"/>
            </w:tcBorders>
            <w:shd w:val="clear" w:color="auto" w:fill="E7E6E6" w:themeFill="background2"/>
          </w:tcPr>
          <w:p w14:paraId="027A35C7" w14:textId="139E7AA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0.988</w:t>
            </w:r>
          </w:p>
        </w:tc>
        <w:tc>
          <w:tcPr>
            <w:tcW w:w="783" w:type="dxa"/>
            <w:tcBorders>
              <w:top w:val="nil"/>
              <w:bottom w:val="nil"/>
            </w:tcBorders>
          </w:tcPr>
          <w:p w14:paraId="256DC51F" w14:textId="11FDAB5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1.004</w:t>
            </w:r>
          </w:p>
        </w:tc>
        <w:tc>
          <w:tcPr>
            <w:tcW w:w="784" w:type="dxa"/>
            <w:tcBorders>
              <w:top w:val="nil"/>
              <w:bottom w:val="nil"/>
            </w:tcBorders>
          </w:tcPr>
          <w:p w14:paraId="7F300815" w14:textId="46656F5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1.022</w:t>
            </w:r>
          </w:p>
        </w:tc>
        <w:tc>
          <w:tcPr>
            <w:tcW w:w="784" w:type="dxa"/>
            <w:tcBorders>
              <w:top w:val="nil"/>
              <w:bottom w:val="nil"/>
            </w:tcBorders>
          </w:tcPr>
          <w:p w14:paraId="70B30BF5" w14:textId="1B70E18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0.987</w:t>
            </w:r>
          </w:p>
        </w:tc>
        <w:tc>
          <w:tcPr>
            <w:tcW w:w="815" w:type="dxa"/>
            <w:tcBorders>
              <w:top w:val="nil"/>
              <w:bottom w:val="nil"/>
              <w:right w:val="nil"/>
            </w:tcBorders>
          </w:tcPr>
          <w:p w14:paraId="1FDE9970" w14:textId="189C30D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0.975</w:t>
            </w:r>
          </w:p>
        </w:tc>
      </w:tr>
      <w:tr w:rsidR="0055202D" w:rsidRPr="00D67903" w14:paraId="20E10E3D" w14:textId="77777777" w:rsidTr="00AC558B">
        <w:trPr>
          <w:trHeight w:val="290"/>
        </w:trPr>
        <w:tc>
          <w:tcPr>
            <w:tcW w:w="641" w:type="dxa"/>
            <w:tcBorders>
              <w:top w:val="nil"/>
              <w:left w:val="nil"/>
              <w:bottom w:val="nil"/>
            </w:tcBorders>
            <w:shd w:val="clear" w:color="auto" w:fill="auto"/>
            <w:noWrap/>
            <w:vAlign w:val="bottom"/>
            <w:hideMark/>
          </w:tcPr>
          <w:p w14:paraId="5925C758"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2018</w:t>
            </w:r>
          </w:p>
        </w:tc>
        <w:tc>
          <w:tcPr>
            <w:tcW w:w="890" w:type="dxa"/>
            <w:tcBorders>
              <w:top w:val="nil"/>
              <w:bottom w:val="nil"/>
            </w:tcBorders>
            <w:shd w:val="clear" w:color="auto" w:fill="E7E6E6" w:themeFill="background2"/>
            <w:noWrap/>
            <w:hideMark/>
          </w:tcPr>
          <w:p w14:paraId="195D4EAB" w14:textId="54548A0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0.982</w:t>
            </w:r>
          </w:p>
        </w:tc>
        <w:tc>
          <w:tcPr>
            <w:tcW w:w="890" w:type="dxa"/>
            <w:tcBorders>
              <w:top w:val="nil"/>
              <w:bottom w:val="nil"/>
            </w:tcBorders>
            <w:shd w:val="clear" w:color="auto" w:fill="auto"/>
            <w:noWrap/>
            <w:hideMark/>
          </w:tcPr>
          <w:p w14:paraId="2B9FA57A" w14:textId="1F2FBE75"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1.003</w:t>
            </w:r>
          </w:p>
        </w:tc>
        <w:tc>
          <w:tcPr>
            <w:tcW w:w="890" w:type="dxa"/>
            <w:tcBorders>
              <w:top w:val="nil"/>
              <w:bottom w:val="nil"/>
            </w:tcBorders>
            <w:shd w:val="clear" w:color="auto" w:fill="auto"/>
            <w:noWrap/>
            <w:hideMark/>
          </w:tcPr>
          <w:p w14:paraId="269C0B5E" w14:textId="77B38DC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1.020</w:t>
            </w:r>
          </w:p>
        </w:tc>
        <w:tc>
          <w:tcPr>
            <w:tcW w:w="890" w:type="dxa"/>
            <w:tcBorders>
              <w:top w:val="nil"/>
              <w:bottom w:val="nil"/>
            </w:tcBorders>
            <w:shd w:val="clear" w:color="auto" w:fill="auto"/>
            <w:noWrap/>
            <w:hideMark/>
          </w:tcPr>
          <w:p w14:paraId="4B6CEB04" w14:textId="342C39E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0.995</w:t>
            </w:r>
          </w:p>
        </w:tc>
        <w:tc>
          <w:tcPr>
            <w:tcW w:w="890" w:type="dxa"/>
            <w:tcBorders>
              <w:top w:val="nil"/>
              <w:bottom w:val="nil"/>
            </w:tcBorders>
            <w:shd w:val="clear" w:color="auto" w:fill="auto"/>
            <w:noWrap/>
            <w:hideMark/>
          </w:tcPr>
          <w:p w14:paraId="2C80D870" w14:textId="0220557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0.966</w:t>
            </w:r>
          </w:p>
        </w:tc>
        <w:tc>
          <w:tcPr>
            <w:tcW w:w="790" w:type="dxa"/>
            <w:tcBorders>
              <w:top w:val="nil"/>
              <w:bottom w:val="nil"/>
            </w:tcBorders>
            <w:shd w:val="clear" w:color="auto" w:fill="E7E6E6" w:themeFill="background2"/>
          </w:tcPr>
          <w:p w14:paraId="65FC0E50" w14:textId="0B146CA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0.963</w:t>
            </w:r>
          </w:p>
        </w:tc>
        <w:tc>
          <w:tcPr>
            <w:tcW w:w="783" w:type="dxa"/>
            <w:tcBorders>
              <w:top w:val="nil"/>
              <w:bottom w:val="nil"/>
            </w:tcBorders>
          </w:tcPr>
          <w:p w14:paraId="11BDF3CC" w14:textId="1654413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1.003</w:t>
            </w:r>
          </w:p>
        </w:tc>
        <w:tc>
          <w:tcPr>
            <w:tcW w:w="784" w:type="dxa"/>
            <w:tcBorders>
              <w:top w:val="nil"/>
              <w:bottom w:val="nil"/>
            </w:tcBorders>
          </w:tcPr>
          <w:p w14:paraId="3F3E9FB1" w14:textId="501E5A0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1.007</w:t>
            </w:r>
          </w:p>
        </w:tc>
        <w:tc>
          <w:tcPr>
            <w:tcW w:w="784" w:type="dxa"/>
            <w:tcBorders>
              <w:top w:val="nil"/>
              <w:bottom w:val="nil"/>
            </w:tcBorders>
          </w:tcPr>
          <w:p w14:paraId="6081272F" w14:textId="0F2112E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0.966</w:t>
            </w:r>
          </w:p>
        </w:tc>
        <w:tc>
          <w:tcPr>
            <w:tcW w:w="815" w:type="dxa"/>
            <w:tcBorders>
              <w:top w:val="nil"/>
              <w:bottom w:val="nil"/>
              <w:right w:val="nil"/>
            </w:tcBorders>
          </w:tcPr>
          <w:p w14:paraId="55C926C4" w14:textId="65ABD30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0.988</w:t>
            </w:r>
          </w:p>
        </w:tc>
      </w:tr>
      <w:tr w:rsidR="0055202D" w:rsidRPr="00D67903" w14:paraId="3078393B" w14:textId="77777777" w:rsidTr="00AC558B">
        <w:trPr>
          <w:trHeight w:val="290"/>
        </w:trPr>
        <w:tc>
          <w:tcPr>
            <w:tcW w:w="641" w:type="dxa"/>
            <w:tcBorders>
              <w:top w:val="nil"/>
              <w:left w:val="nil"/>
              <w:bottom w:val="nil"/>
            </w:tcBorders>
            <w:shd w:val="clear" w:color="auto" w:fill="auto"/>
            <w:noWrap/>
            <w:vAlign w:val="bottom"/>
            <w:hideMark/>
          </w:tcPr>
          <w:p w14:paraId="74EBF640"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2019</w:t>
            </w:r>
          </w:p>
        </w:tc>
        <w:tc>
          <w:tcPr>
            <w:tcW w:w="890" w:type="dxa"/>
            <w:tcBorders>
              <w:top w:val="nil"/>
              <w:bottom w:val="nil"/>
            </w:tcBorders>
            <w:shd w:val="clear" w:color="auto" w:fill="E7E6E6" w:themeFill="background2"/>
            <w:noWrap/>
            <w:hideMark/>
          </w:tcPr>
          <w:p w14:paraId="1B52E904" w14:textId="06C4B399"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0.943</w:t>
            </w:r>
          </w:p>
        </w:tc>
        <w:tc>
          <w:tcPr>
            <w:tcW w:w="890" w:type="dxa"/>
            <w:tcBorders>
              <w:top w:val="nil"/>
              <w:bottom w:val="nil"/>
            </w:tcBorders>
            <w:shd w:val="clear" w:color="auto" w:fill="auto"/>
            <w:noWrap/>
            <w:hideMark/>
          </w:tcPr>
          <w:p w14:paraId="56C20A5B" w14:textId="71F6B1B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1.006</w:t>
            </w:r>
          </w:p>
        </w:tc>
        <w:tc>
          <w:tcPr>
            <w:tcW w:w="890" w:type="dxa"/>
            <w:tcBorders>
              <w:top w:val="nil"/>
              <w:bottom w:val="nil"/>
            </w:tcBorders>
            <w:shd w:val="clear" w:color="auto" w:fill="auto"/>
            <w:noWrap/>
            <w:hideMark/>
          </w:tcPr>
          <w:p w14:paraId="6D141EF8" w14:textId="02CCBB8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1.014</w:t>
            </w:r>
          </w:p>
        </w:tc>
        <w:tc>
          <w:tcPr>
            <w:tcW w:w="890" w:type="dxa"/>
            <w:tcBorders>
              <w:top w:val="nil"/>
              <w:bottom w:val="nil"/>
            </w:tcBorders>
            <w:shd w:val="clear" w:color="auto" w:fill="auto"/>
            <w:noWrap/>
            <w:hideMark/>
          </w:tcPr>
          <w:p w14:paraId="37F50F19" w14:textId="618DE16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0.954</w:t>
            </w:r>
          </w:p>
        </w:tc>
        <w:tc>
          <w:tcPr>
            <w:tcW w:w="890" w:type="dxa"/>
            <w:tcBorders>
              <w:top w:val="nil"/>
              <w:bottom w:val="nil"/>
            </w:tcBorders>
            <w:shd w:val="clear" w:color="auto" w:fill="auto"/>
            <w:noWrap/>
            <w:hideMark/>
          </w:tcPr>
          <w:p w14:paraId="4F51076D" w14:textId="0971DDE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0.969</w:t>
            </w:r>
          </w:p>
        </w:tc>
        <w:tc>
          <w:tcPr>
            <w:tcW w:w="790" w:type="dxa"/>
            <w:tcBorders>
              <w:top w:val="nil"/>
              <w:bottom w:val="nil"/>
            </w:tcBorders>
            <w:shd w:val="clear" w:color="auto" w:fill="E7E6E6" w:themeFill="background2"/>
          </w:tcPr>
          <w:p w14:paraId="7296B62A" w14:textId="05099C8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0.928</w:t>
            </w:r>
          </w:p>
        </w:tc>
        <w:tc>
          <w:tcPr>
            <w:tcW w:w="783" w:type="dxa"/>
            <w:tcBorders>
              <w:top w:val="nil"/>
              <w:bottom w:val="nil"/>
            </w:tcBorders>
          </w:tcPr>
          <w:p w14:paraId="1AD753BC" w14:textId="0247EDCC"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1.003</w:t>
            </w:r>
          </w:p>
        </w:tc>
        <w:tc>
          <w:tcPr>
            <w:tcW w:w="784" w:type="dxa"/>
            <w:tcBorders>
              <w:top w:val="nil"/>
              <w:bottom w:val="nil"/>
            </w:tcBorders>
          </w:tcPr>
          <w:p w14:paraId="51B40B1E" w14:textId="1E014CD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1.008</w:t>
            </w:r>
          </w:p>
        </w:tc>
        <w:tc>
          <w:tcPr>
            <w:tcW w:w="784" w:type="dxa"/>
            <w:tcBorders>
              <w:top w:val="nil"/>
              <w:bottom w:val="nil"/>
            </w:tcBorders>
          </w:tcPr>
          <w:p w14:paraId="031B641B" w14:textId="06C39525"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0.964</w:t>
            </w:r>
          </w:p>
        </w:tc>
        <w:tc>
          <w:tcPr>
            <w:tcW w:w="815" w:type="dxa"/>
            <w:tcBorders>
              <w:top w:val="nil"/>
              <w:bottom w:val="nil"/>
              <w:right w:val="nil"/>
            </w:tcBorders>
          </w:tcPr>
          <w:p w14:paraId="4CDC09FE" w14:textId="04F4934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0.952</w:t>
            </w:r>
          </w:p>
        </w:tc>
      </w:tr>
      <w:tr w:rsidR="0055202D" w:rsidRPr="00D67903" w14:paraId="1F135F13" w14:textId="77777777" w:rsidTr="00AC558B">
        <w:trPr>
          <w:trHeight w:val="290"/>
        </w:trPr>
        <w:tc>
          <w:tcPr>
            <w:tcW w:w="641" w:type="dxa"/>
            <w:tcBorders>
              <w:top w:val="nil"/>
              <w:left w:val="nil"/>
              <w:bottom w:val="nil"/>
            </w:tcBorders>
            <w:shd w:val="clear" w:color="auto" w:fill="auto"/>
            <w:noWrap/>
            <w:vAlign w:val="bottom"/>
            <w:hideMark/>
          </w:tcPr>
          <w:p w14:paraId="0F3862C1"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2020</w:t>
            </w:r>
          </w:p>
        </w:tc>
        <w:tc>
          <w:tcPr>
            <w:tcW w:w="890" w:type="dxa"/>
            <w:tcBorders>
              <w:top w:val="nil"/>
              <w:bottom w:val="nil"/>
            </w:tcBorders>
            <w:shd w:val="clear" w:color="auto" w:fill="E7E6E6" w:themeFill="background2"/>
            <w:noWrap/>
            <w:hideMark/>
          </w:tcPr>
          <w:p w14:paraId="0131432F" w14:textId="59275A7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0.808</w:t>
            </w:r>
          </w:p>
        </w:tc>
        <w:tc>
          <w:tcPr>
            <w:tcW w:w="890" w:type="dxa"/>
            <w:tcBorders>
              <w:top w:val="nil"/>
              <w:bottom w:val="nil"/>
            </w:tcBorders>
            <w:shd w:val="clear" w:color="auto" w:fill="auto"/>
            <w:noWrap/>
            <w:hideMark/>
          </w:tcPr>
          <w:p w14:paraId="59EB16F9" w14:textId="3624E68A"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1.008</w:t>
            </w:r>
          </w:p>
        </w:tc>
        <w:tc>
          <w:tcPr>
            <w:tcW w:w="890" w:type="dxa"/>
            <w:tcBorders>
              <w:top w:val="nil"/>
              <w:bottom w:val="nil"/>
            </w:tcBorders>
            <w:shd w:val="clear" w:color="auto" w:fill="auto"/>
            <w:noWrap/>
            <w:hideMark/>
          </w:tcPr>
          <w:p w14:paraId="2ADD3171" w14:textId="7BEE37C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0.879</w:t>
            </w:r>
          </w:p>
        </w:tc>
        <w:tc>
          <w:tcPr>
            <w:tcW w:w="890" w:type="dxa"/>
            <w:tcBorders>
              <w:top w:val="nil"/>
              <w:bottom w:val="nil"/>
            </w:tcBorders>
            <w:shd w:val="clear" w:color="auto" w:fill="auto"/>
            <w:noWrap/>
            <w:hideMark/>
          </w:tcPr>
          <w:p w14:paraId="02BE78F9" w14:textId="22018414"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1.019</w:t>
            </w:r>
          </w:p>
        </w:tc>
        <w:tc>
          <w:tcPr>
            <w:tcW w:w="890" w:type="dxa"/>
            <w:tcBorders>
              <w:top w:val="nil"/>
              <w:bottom w:val="nil"/>
            </w:tcBorders>
            <w:shd w:val="clear" w:color="auto" w:fill="auto"/>
            <w:noWrap/>
            <w:hideMark/>
          </w:tcPr>
          <w:p w14:paraId="60338F6B" w14:textId="1340C97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0.894</w:t>
            </w:r>
          </w:p>
        </w:tc>
        <w:tc>
          <w:tcPr>
            <w:tcW w:w="790" w:type="dxa"/>
            <w:tcBorders>
              <w:top w:val="nil"/>
              <w:bottom w:val="nil"/>
            </w:tcBorders>
            <w:shd w:val="clear" w:color="auto" w:fill="E7E6E6" w:themeFill="background2"/>
          </w:tcPr>
          <w:p w14:paraId="3511E719" w14:textId="4F8C33A7"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0.890</w:t>
            </w:r>
          </w:p>
        </w:tc>
        <w:tc>
          <w:tcPr>
            <w:tcW w:w="783" w:type="dxa"/>
            <w:tcBorders>
              <w:top w:val="nil"/>
              <w:bottom w:val="nil"/>
            </w:tcBorders>
          </w:tcPr>
          <w:p w14:paraId="0ADB71CB" w14:textId="1C4F27D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1.002</w:t>
            </w:r>
          </w:p>
        </w:tc>
        <w:tc>
          <w:tcPr>
            <w:tcW w:w="784" w:type="dxa"/>
            <w:tcBorders>
              <w:top w:val="nil"/>
              <w:bottom w:val="nil"/>
            </w:tcBorders>
          </w:tcPr>
          <w:p w14:paraId="1FA925B5" w14:textId="66F9B2C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0.961</w:t>
            </w:r>
          </w:p>
        </w:tc>
        <w:tc>
          <w:tcPr>
            <w:tcW w:w="784" w:type="dxa"/>
            <w:tcBorders>
              <w:top w:val="nil"/>
              <w:bottom w:val="nil"/>
            </w:tcBorders>
          </w:tcPr>
          <w:p w14:paraId="371843A2" w14:textId="74A4BCF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0.968</w:t>
            </w:r>
          </w:p>
        </w:tc>
        <w:tc>
          <w:tcPr>
            <w:tcW w:w="815" w:type="dxa"/>
            <w:tcBorders>
              <w:top w:val="nil"/>
              <w:bottom w:val="nil"/>
              <w:right w:val="nil"/>
            </w:tcBorders>
          </w:tcPr>
          <w:p w14:paraId="38E75E24" w14:textId="7F4DF7D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0.955</w:t>
            </w:r>
          </w:p>
        </w:tc>
      </w:tr>
      <w:tr w:rsidR="0055202D" w:rsidRPr="00D67903" w14:paraId="6ED92117" w14:textId="77777777" w:rsidTr="00AC558B">
        <w:trPr>
          <w:trHeight w:val="290"/>
        </w:trPr>
        <w:tc>
          <w:tcPr>
            <w:tcW w:w="641" w:type="dxa"/>
            <w:tcBorders>
              <w:top w:val="nil"/>
              <w:left w:val="nil"/>
              <w:bottom w:val="nil"/>
            </w:tcBorders>
            <w:shd w:val="clear" w:color="auto" w:fill="auto"/>
            <w:noWrap/>
            <w:vAlign w:val="bottom"/>
            <w:hideMark/>
          </w:tcPr>
          <w:p w14:paraId="45332721" w14:textId="77777777"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sidRPr="00D67903">
              <w:rPr>
                <w:rFonts w:ascii="Times New Roman" w:eastAsia="Times New Roman" w:hAnsi="Times New Roman" w:cs="Times New Roman"/>
                <w:b/>
                <w:bCs/>
                <w:color w:val="000000"/>
                <w:sz w:val="20"/>
                <w:szCs w:val="20"/>
                <w:lang w:eastAsia="de-DE"/>
              </w:rPr>
              <w:t>2021</w:t>
            </w:r>
          </w:p>
        </w:tc>
        <w:tc>
          <w:tcPr>
            <w:tcW w:w="890" w:type="dxa"/>
            <w:tcBorders>
              <w:top w:val="nil"/>
              <w:bottom w:val="nil"/>
            </w:tcBorders>
            <w:shd w:val="clear" w:color="auto" w:fill="E7E6E6" w:themeFill="background2"/>
            <w:noWrap/>
            <w:hideMark/>
          </w:tcPr>
          <w:p w14:paraId="567104EA" w14:textId="3F517BF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1.091</w:t>
            </w:r>
          </w:p>
        </w:tc>
        <w:tc>
          <w:tcPr>
            <w:tcW w:w="890" w:type="dxa"/>
            <w:tcBorders>
              <w:top w:val="nil"/>
              <w:bottom w:val="nil"/>
            </w:tcBorders>
            <w:shd w:val="clear" w:color="auto" w:fill="auto"/>
            <w:noWrap/>
            <w:hideMark/>
          </w:tcPr>
          <w:p w14:paraId="48D65C60" w14:textId="4700935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1.001</w:t>
            </w:r>
          </w:p>
        </w:tc>
        <w:tc>
          <w:tcPr>
            <w:tcW w:w="890" w:type="dxa"/>
            <w:tcBorders>
              <w:top w:val="nil"/>
              <w:bottom w:val="nil"/>
            </w:tcBorders>
            <w:shd w:val="clear" w:color="auto" w:fill="auto"/>
            <w:noWrap/>
            <w:hideMark/>
          </w:tcPr>
          <w:p w14:paraId="62A2A0C5" w14:textId="403FE53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1.054</w:t>
            </w:r>
          </w:p>
        </w:tc>
        <w:tc>
          <w:tcPr>
            <w:tcW w:w="890" w:type="dxa"/>
            <w:tcBorders>
              <w:top w:val="nil"/>
              <w:bottom w:val="nil"/>
            </w:tcBorders>
            <w:shd w:val="clear" w:color="auto" w:fill="auto"/>
            <w:noWrap/>
            <w:hideMark/>
          </w:tcPr>
          <w:p w14:paraId="13FE93DD" w14:textId="2DD4B1D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1.015</w:t>
            </w:r>
          </w:p>
        </w:tc>
        <w:tc>
          <w:tcPr>
            <w:tcW w:w="890" w:type="dxa"/>
            <w:tcBorders>
              <w:top w:val="nil"/>
              <w:bottom w:val="nil"/>
            </w:tcBorders>
            <w:shd w:val="clear" w:color="auto" w:fill="auto"/>
            <w:noWrap/>
            <w:hideMark/>
          </w:tcPr>
          <w:p w14:paraId="287B4726" w14:textId="5EF031E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1.018</w:t>
            </w:r>
          </w:p>
        </w:tc>
        <w:tc>
          <w:tcPr>
            <w:tcW w:w="790" w:type="dxa"/>
            <w:tcBorders>
              <w:top w:val="nil"/>
              <w:bottom w:val="nil"/>
            </w:tcBorders>
            <w:shd w:val="clear" w:color="auto" w:fill="E7E6E6" w:themeFill="background2"/>
          </w:tcPr>
          <w:p w14:paraId="1C6549AF" w14:textId="1C1429EF"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1.062</w:t>
            </w:r>
          </w:p>
        </w:tc>
        <w:tc>
          <w:tcPr>
            <w:tcW w:w="783" w:type="dxa"/>
            <w:tcBorders>
              <w:top w:val="nil"/>
              <w:bottom w:val="nil"/>
            </w:tcBorders>
          </w:tcPr>
          <w:p w14:paraId="74C87FFC" w14:textId="29B0F16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1.000</w:t>
            </w:r>
          </w:p>
        </w:tc>
        <w:tc>
          <w:tcPr>
            <w:tcW w:w="784" w:type="dxa"/>
            <w:tcBorders>
              <w:top w:val="nil"/>
              <w:bottom w:val="nil"/>
            </w:tcBorders>
          </w:tcPr>
          <w:p w14:paraId="4AE2D657" w14:textId="3A2E9D9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1.026</w:t>
            </w:r>
          </w:p>
        </w:tc>
        <w:tc>
          <w:tcPr>
            <w:tcW w:w="784" w:type="dxa"/>
            <w:tcBorders>
              <w:top w:val="nil"/>
              <w:bottom w:val="nil"/>
            </w:tcBorders>
          </w:tcPr>
          <w:p w14:paraId="7B45A1BE" w14:textId="1BF627B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1.003</w:t>
            </w:r>
          </w:p>
        </w:tc>
        <w:tc>
          <w:tcPr>
            <w:tcW w:w="815" w:type="dxa"/>
            <w:tcBorders>
              <w:top w:val="nil"/>
              <w:bottom w:val="nil"/>
              <w:right w:val="nil"/>
            </w:tcBorders>
          </w:tcPr>
          <w:p w14:paraId="395AE392" w14:textId="3BF19FAB"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1.031</w:t>
            </w:r>
          </w:p>
        </w:tc>
      </w:tr>
      <w:tr w:rsidR="0055202D" w:rsidRPr="00D67903" w14:paraId="7E86658F" w14:textId="77777777" w:rsidTr="00AC558B">
        <w:trPr>
          <w:trHeight w:val="290"/>
        </w:trPr>
        <w:tc>
          <w:tcPr>
            <w:tcW w:w="641" w:type="dxa"/>
            <w:tcBorders>
              <w:top w:val="nil"/>
              <w:left w:val="nil"/>
              <w:bottom w:val="single" w:sz="4" w:space="0" w:color="auto"/>
            </w:tcBorders>
            <w:shd w:val="clear" w:color="auto" w:fill="auto"/>
            <w:noWrap/>
            <w:vAlign w:val="bottom"/>
          </w:tcPr>
          <w:p w14:paraId="760D5950" w14:textId="690CD04D" w:rsidR="0055202D" w:rsidRPr="00D67903" w:rsidRDefault="0055202D" w:rsidP="0055202D">
            <w:pPr>
              <w:spacing w:after="0" w:line="240" w:lineRule="auto"/>
              <w:jc w:val="right"/>
              <w:rPr>
                <w:rFonts w:ascii="Times New Roman" w:eastAsia="Times New Roman" w:hAnsi="Times New Roman" w:cs="Times New Roman"/>
                <w:b/>
                <w:bCs/>
                <w:color w:val="000000"/>
                <w:sz w:val="20"/>
                <w:szCs w:val="20"/>
                <w:lang w:eastAsia="de-DE"/>
              </w:rPr>
            </w:pPr>
            <w:r>
              <w:rPr>
                <w:rFonts w:ascii="Times New Roman" w:eastAsia="Times New Roman" w:hAnsi="Times New Roman" w:cs="Times New Roman"/>
                <w:b/>
                <w:bCs/>
                <w:color w:val="000000"/>
                <w:sz w:val="20"/>
                <w:szCs w:val="20"/>
                <w:lang w:eastAsia="de-DE"/>
              </w:rPr>
              <w:t>2022</w:t>
            </w:r>
          </w:p>
        </w:tc>
        <w:tc>
          <w:tcPr>
            <w:tcW w:w="890" w:type="dxa"/>
            <w:tcBorders>
              <w:top w:val="nil"/>
              <w:bottom w:val="single" w:sz="4" w:space="0" w:color="auto"/>
            </w:tcBorders>
            <w:shd w:val="clear" w:color="auto" w:fill="E7E6E6" w:themeFill="background2"/>
            <w:noWrap/>
          </w:tcPr>
          <w:p w14:paraId="792836FD" w14:textId="340CEE66"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1.071</w:t>
            </w:r>
          </w:p>
        </w:tc>
        <w:tc>
          <w:tcPr>
            <w:tcW w:w="890" w:type="dxa"/>
            <w:tcBorders>
              <w:top w:val="nil"/>
              <w:bottom w:val="single" w:sz="4" w:space="0" w:color="auto"/>
            </w:tcBorders>
            <w:shd w:val="clear" w:color="auto" w:fill="auto"/>
            <w:noWrap/>
          </w:tcPr>
          <w:p w14:paraId="16D27B87" w14:textId="7C225928"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1.001</w:t>
            </w:r>
          </w:p>
        </w:tc>
        <w:tc>
          <w:tcPr>
            <w:tcW w:w="890" w:type="dxa"/>
            <w:tcBorders>
              <w:top w:val="nil"/>
              <w:bottom w:val="single" w:sz="4" w:space="0" w:color="auto"/>
            </w:tcBorders>
            <w:shd w:val="clear" w:color="auto" w:fill="auto"/>
            <w:noWrap/>
          </w:tcPr>
          <w:p w14:paraId="23D9A803" w14:textId="3FB7DE10"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1.054</w:t>
            </w:r>
          </w:p>
        </w:tc>
        <w:tc>
          <w:tcPr>
            <w:tcW w:w="890" w:type="dxa"/>
            <w:tcBorders>
              <w:top w:val="nil"/>
              <w:bottom w:val="single" w:sz="4" w:space="0" w:color="auto"/>
            </w:tcBorders>
            <w:shd w:val="clear" w:color="auto" w:fill="auto"/>
            <w:noWrap/>
          </w:tcPr>
          <w:p w14:paraId="700F36E1" w14:textId="0BCECF8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0.984</w:t>
            </w:r>
          </w:p>
        </w:tc>
        <w:tc>
          <w:tcPr>
            <w:tcW w:w="890" w:type="dxa"/>
            <w:tcBorders>
              <w:top w:val="nil"/>
              <w:bottom w:val="single" w:sz="4" w:space="0" w:color="auto"/>
            </w:tcBorders>
            <w:shd w:val="clear" w:color="auto" w:fill="auto"/>
            <w:noWrap/>
          </w:tcPr>
          <w:p w14:paraId="12B953FF" w14:textId="17FD0F7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1.032</w:t>
            </w:r>
          </w:p>
        </w:tc>
        <w:tc>
          <w:tcPr>
            <w:tcW w:w="790" w:type="dxa"/>
            <w:tcBorders>
              <w:top w:val="nil"/>
              <w:bottom w:val="single" w:sz="4" w:space="0" w:color="auto"/>
            </w:tcBorders>
            <w:shd w:val="clear" w:color="auto" w:fill="E7E6E6" w:themeFill="background2"/>
          </w:tcPr>
          <w:p w14:paraId="6AD813A8" w14:textId="4C997823"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0.988</w:t>
            </w:r>
          </w:p>
        </w:tc>
        <w:tc>
          <w:tcPr>
            <w:tcW w:w="783" w:type="dxa"/>
            <w:tcBorders>
              <w:top w:val="nil"/>
              <w:bottom w:val="single" w:sz="4" w:space="0" w:color="auto"/>
            </w:tcBorders>
          </w:tcPr>
          <w:p w14:paraId="7E7712CE" w14:textId="3F8730D2"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1.001</w:t>
            </w:r>
          </w:p>
        </w:tc>
        <w:tc>
          <w:tcPr>
            <w:tcW w:w="784" w:type="dxa"/>
            <w:tcBorders>
              <w:top w:val="nil"/>
              <w:bottom w:val="single" w:sz="4" w:space="0" w:color="auto"/>
            </w:tcBorders>
          </w:tcPr>
          <w:p w14:paraId="391975ED" w14:textId="4068CFF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1.017</w:t>
            </w:r>
          </w:p>
        </w:tc>
        <w:tc>
          <w:tcPr>
            <w:tcW w:w="784" w:type="dxa"/>
            <w:tcBorders>
              <w:top w:val="nil"/>
              <w:bottom w:val="single" w:sz="4" w:space="0" w:color="auto"/>
            </w:tcBorders>
          </w:tcPr>
          <w:p w14:paraId="20CDE023" w14:textId="100005BD"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0.945</w:t>
            </w:r>
          </w:p>
        </w:tc>
        <w:tc>
          <w:tcPr>
            <w:tcW w:w="815" w:type="dxa"/>
            <w:tcBorders>
              <w:top w:val="nil"/>
              <w:bottom w:val="single" w:sz="4" w:space="0" w:color="auto"/>
              <w:right w:val="nil"/>
            </w:tcBorders>
          </w:tcPr>
          <w:p w14:paraId="151C6CCB" w14:textId="6BE8DB8E" w:rsidR="0055202D" w:rsidRPr="0055202D" w:rsidRDefault="0055202D" w:rsidP="0055202D">
            <w:pPr>
              <w:spacing w:after="0" w:line="240" w:lineRule="auto"/>
              <w:jc w:val="right"/>
              <w:rPr>
                <w:rFonts w:ascii="Times New Roman" w:eastAsia="Times New Roman" w:hAnsi="Times New Roman" w:cs="Times New Roman"/>
                <w:color w:val="000000"/>
                <w:sz w:val="20"/>
                <w:szCs w:val="20"/>
                <w:lang w:eastAsia="de-DE"/>
              </w:rPr>
            </w:pPr>
            <w:r w:rsidRPr="0055202D">
              <w:rPr>
                <w:rFonts w:ascii="Times New Roman" w:hAnsi="Times New Roman" w:cs="Times New Roman"/>
                <w:sz w:val="20"/>
                <w:szCs w:val="20"/>
              </w:rPr>
              <w:t>1.026</w:t>
            </w:r>
          </w:p>
        </w:tc>
      </w:tr>
    </w:tbl>
    <w:p w14:paraId="05D68600" w14:textId="017E5D55" w:rsidR="00010AD3" w:rsidRDefault="00B37BAE" w:rsidP="006F4619">
      <w:pPr>
        <w:pStyle w:val="EndNoteBibliography"/>
        <w:spacing w:after="0"/>
        <w:ind w:left="720" w:hanging="720"/>
        <w:rPr>
          <w:rFonts w:ascii="Times New Roman" w:hAnsi="Times New Roman" w:cs="Times New Roman"/>
          <w:sz w:val="20"/>
          <w:szCs w:val="20"/>
          <w:lang w:val="en-GB"/>
        </w:rPr>
      </w:pPr>
      <w:r w:rsidRPr="00787AA0">
        <w:rPr>
          <w:rFonts w:ascii="Times New Roman" w:hAnsi="Times New Roman" w:cs="Times New Roman"/>
          <w:b/>
          <w:bCs/>
          <w:sz w:val="20"/>
          <w:szCs w:val="20"/>
          <w:lang w:val="en-GB"/>
        </w:rPr>
        <w:t>Table </w:t>
      </w:r>
      <w:r w:rsidR="00F65E05" w:rsidRPr="00787AA0">
        <w:rPr>
          <w:rFonts w:ascii="Times New Roman" w:hAnsi="Times New Roman" w:cs="Times New Roman"/>
          <w:b/>
          <w:bCs/>
          <w:sz w:val="20"/>
          <w:szCs w:val="20"/>
          <w:lang w:val="en-GB"/>
        </w:rPr>
        <w:t>S</w:t>
      </w:r>
      <w:r w:rsidR="00526FD5">
        <w:rPr>
          <w:rFonts w:ascii="Times New Roman" w:hAnsi="Times New Roman" w:cs="Times New Roman"/>
          <w:b/>
          <w:bCs/>
          <w:sz w:val="20"/>
          <w:szCs w:val="20"/>
          <w:lang w:val="en-GB"/>
        </w:rPr>
        <w:t>M</w:t>
      </w:r>
      <w:r w:rsidR="00F65E05" w:rsidRPr="00787AA0">
        <w:rPr>
          <w:rFonts w:ascii="Times New Roman" w:hAnsi="Times New Roman" w:cs="Times New Roman"/>
          <w:b/>
          <w:bCs/>
          <w:sz w:val="20"/>
          <w:szCs w:val="20"/>
          <w:lang w:val="en-GB"/>
        </w:rPr>
        <w:t>3</w:t>
      </w:r>
      <w:r w:rsidRPr="00787AA0">
        <w:rPr>
          <w:rFonts w:ascii="Times New Roman" w:hAnsi="Times New Roman" w:cs="Times New Roman"/>
          <w:b/>
          <w:bCs/>
          <w:sz w:val="20"/>
          <w:szCs w:val="20"/>
          <w:lang w:val="en-GB"/>
        </w:rPr>
        <w:t>: Multiplicative contribution factors to national CO</w:t>
      </w:r>
      <w:r w:rsidRPr="00787AA0">
        <w:rPr>
          <w:rFonts w:ascii="Times New Roman" w:hAnsi="Times New Roman" w:cs="Times New Roman"/>
          <w:b/>
          <w:bCs/>
          <w:sz w:val="20"/>
          <w:szCs w:val="20"/>
          <w:vertAlign w:val="subscript"/>
          <w:lang w:val="en-GB"/>
        </w:rPr>
        <w:t xml:space="preserve">2 </w:t>
      </w:r>
      <w:r w:rsidRPr="00787AA0">
        <w:rPr>
          <w:rFonts w:ascii="Times New Roman" w:hAnsi="Times New Roman" w:cs="Times New Roman"/>
          <w:b/>
          <w:bCs/>
          <w:sz w:val="20"/>
          <w:szCs w:val="20"/>
          <w:lang w:val="en-GB"/>
        </w:rPr>
        <w:t>emissions, Spain-Germany.</w:t>
      </w:r>
      <w:r w:rsidRPr="00787AA0">
        <w:rPr>
          <w:rFonts w:ascii="Times New Roman" w:hAnsi="Times New Roman" w:cs="Times New Roman"/>
          <w:sz w:val="20"/>
          <w:szCs w:val="20"/>
          <w:lang w:val="en-GB"/>
        </w:rPr>
        <w:t xml:space="preserve"> </w:t>
      </w:r>
      <w:r w:rsidR="00787AA0">
        <w:rPr>
          <w:rFonts w:ascii="Times New Roman" w:hAnsi="Times New Roman" w:cs="Times New Roman"/>
          <w:sz w:val="20"/>
          <w:szCs w:val="20"/>
          <w:lang w:val="en-GB"/>
        </w:rPr>
        <w:tab/>
        <w:t xml:space="preserve">                </w:t>
      </w:r>
      <w:r w:rsidRPr="00787AA0">
        <w:rPr>
          <w:rFonts w:ascii="Times New Roman" w:hAnsi="Times New Roman" w:cs="Times New Roman"/>
          <w:sz w:val="20"/>
          <w:szCs w:val="20"/>
          <w:lang w:val="en-GB"/>
        </w:rPr>
        <w:t>Source:</w:t>
      </w:r>
      <w:r w:rsidR="00F65E05" w:rsidRPr="00787AA0">
        <w:rPr>
          <w:rFonts w:ascii="Times New Roman" w:hAnsi="Times New Roman" w:cs="Times New Roman"/>
          <w:sz w:val="20"/>
          <w:szCs w:val="20"/>
          <w:lang w:val="en-GB"/>
        </w:rPr>
        <w:t xml:space="preserve"> </w:t>
      </w:r>
      <w:r w:rsidR="00F65E05" w:rsidRPr="00787AA0">
        <w:rPr>
          <w:rFonts w:ascii="Times New Roman" w:hAnsi="Times New Roman" w:cs="Times New Roman"/>
          <w:sz w:val="20"/>
          <w:szCs w:val="20"/>
          <w:lang w:val="en-GB"/>
        </w:rPr>
        <w:fldChar w:fldCharType="begin"/>
      </w:r>
      <w:r w:rsidR="0028474D">
        <w:rPr>
          <w:rFonts w:ascii="Times New Roman" w:hAnsi="Times New Roman" w:cs="Times New Roman"/>
          <w:sz w:val="20"/>
          <w:szCs w:val="20"/>
          <w:lang w:val="en-GB"/>
        </w:rPr>
        <w:instrText xml:space="preserve"> ADDIN EN.CITE &lt;EndNote&gt;&lt;Cite&gt;&lt;Author&gt;Eurostat&lt;/Author&gt;&lt;Year&gt;2022&lt;/Year&gt;&lt;RecNum&gt;851&lt;/RecNum&gt;&lt;DisplayText&gt;(Energy Institute, 2023; Eurostat, 2022)&lt;/DisplayText&gt;&lt;record&gt;&lt;rec-number&gt;851&lt;/rec-number&gt;&lt;foreign-keys&gt;&lt;key app="EN" db-id="zap5wezzop9xpwe0awepz55lfafptea5pr2w" timestamp="1648041457"&gt;851&lt;/key&gt;&lt;/foreign-keys&gt;&lt;ref-type name="Dataset"&gt;59&lt;/ref-type&gt;&lt;contributors&gt;&lt;authors&gt;&lt;author&gt;Eurostat,&lt;/author&gt;&lt;/authors&gt;&lt;/contributors&gt;&lt;titles&gt;&lt;title&gt;Eurostat Database&lt;/title&gt;&lt;/titles&gt;&lt;dates&gt;&lt;year&gt;2022&lt;/year&gt;&lt;/dates&gt;&lt;isbn&gt;https://ec.europa.eu/eurostat/web/main/data/database&lt;/isbn&gt;&lt;urls&gt;&lt;/urls&gt;&lt;electronic-resource-num&gt;https://ec.europa.eu/eurostat/web/main/data/database&lt;/electronic-resource-num&gt;&lt;/record&gt;&lt;/Cite&gt;&lt;Cite&gt;&lt;Author&gt;Energy Institute&lt;/Author&gt;&lt;Year&gt;2023&lt;/Year&gt;&lt;RecNum&gt;879&lt;/RecNum&gt;&lt;record&gt;&lt;rec-number&gt;879&lt;/rec-number&gt;&lt;foreign-keys&gt;&lt;key app="EN" db-id="zap5wezzop9xpwe0awepz55lfafptea5pr2w" timestamp="1657176899"&gt;879&lt;/key&gt;&lt;/foreign-keys&gt;&lt;ref-type name="Dataset"&gt;59&lt;/ref-type&gt;&lt;contributors&gt;&lt;authors&gt;&lt;author&gt;Energy Institute,&lt;/author&gt;&lt;/authors&gt;&lt;/contributors&gt;&lt;titles&gt;&lt;title&gt;Energy Institute Statistical Review of World Energy&lt;/title&gt;&lt;/titles&gt;&lt;dates&gt;&lt;year&gt;2023&lt;/year&gt;&lt;/dates&gt;&lt;urls&gt;&lt;related-urls&gt;&lt;url&gt;https://www.energyinst.org/statistical-review&lt;/url&gt;&lt;/related-urls&gt;&lt;/urls&gt;&lt;/record&gt;&lt;/Cite&gt;&lt;/EndNote&gt;</w:instrText>
      </w:r>
      <w:r w:rsidR="00F65E05" w:rsidRPr="00787AA0">
        <w:rPr>
          <w:rFonts w:ascii="Times New Roman" w:hAnsi="Times New Roman" w:cs="Times New Roman"/>
          <w:sz w:val="20"/>
          <w:szCs w:val="20"/>
          <w:lang w:val="en-GB"/>
        </w:rPr>
        <w:fldChar w:fldCharType="separate"/>
      </w:r>
      <w:r w:rsidR="0028474D">
        <w:rPr>
          <w:rFonts w:ascii="Times New Roman" w:hAnsi="Times New Roman" w:cs="Times New Roman"/>
          <w:sz w:val="20"/>
          <w:szCs w:val="20"/>
          <w:lang w:val="en-GB"/>
        </w:rPr>
        <w:t>(Energy Institute, 2023; Eurostat, 2022)</w:t>
      </w:r>
      <w:r w:rsidR="00F65E05" w:rsidRPr="00787AA0">
        <w:rPr>
          <w:rFonts w:ascii="Times New Roman" w:hAnsi="Times New Roman" w:cs="Times New Roman"/>
          <w:sz w:val="20"/>
          <w:szCs w:val="20"/>
          <w:lang w:val="en-GB"/>
        </w:rPr>
        <w:fldChar w:fldCharType="end"/>
      </w:r>
      <w:r w:rsidRPr="00787AA0">
        <w:rPr>
          <w:rFonts w:ascii="Times New Roman" w:hAnsi="Times New Roman" w:cs="Times New Roman"/>
          <w:sz w:val="20"/>
          <w:szCs w:val="20"/>
          <w:lang w:val="en-GB"/>
        </w:rPr>
        <w:t>.</w:t>
      </w:r>
    </w:p>
    <w:p w14:paraId="56864620" w14:textId="77777777" w:rsidR="0055202D" w:rsidRPr="00787AA0" w:rsidRDefault="0055202D" w:rsidP="006F4619">
      <w:pPr>
        <w:pStyle w:val="EndNoteBibliography"/>
        <w:spacing w:after="0"/>
        <w:ind w:left="720" w:hanging="720"/>
        <w:rPr>
          <w:rFonts w:ascii="Times New Roman" w:hAnsi="Times New Roman" w:cs="Times New Roman"/>
          <w:sz w:val="20"/>
          <w:szCs w:val="20"/>
          <w:lang w:val="en-GB"/>
        </w:rPr>
      </w:pPr>
    </w:p>
    <w:p w14:paraId="4A3BD156" w14:textId="28424813" w:rsidR="00787AA0" w:rsidRPr="00FB58CB" w:rsidRDefault="000C4F88" w:rsidP="00787AA0">
      <w:pPr>
        <w:pStyle w:val="Caption"/>
        <w:keepNext/>
        <w:rPr>
          <w:rFonts w:ascii="Times New Roman" w:hAnsi="Times New Roman" w:cs="Times New Roman"/>
          <w:b/>
          <w:bCs/>
          <w:i w:val="0"/>
          <w:iCs w:val="0"/>
          <w:sz w:val="28"/>
          <w:szCs w:val="28"/>
          <w:lang w:val="en-GB"/>
        </w:rPr>
      </w:pPr>
      <w:r>
        <w:rPr>
          <w:rFonts w:ascii="Times New Roman" w:hAnsi="Times New Roman" w:cs="Times New Roman"/>
          <w:b/>
          <w:bCs/>
          <w:i w:val="0"/>
          <w:iCs w:val="0"/>
          <w:sz w:val="28"/>
          <w:szCs w:val="28"/>
          <w:lang w:val="en-GB"/>
        </w:rPr>
        <w:lastRenderedPageBreak/>
        <w:t>Note</w:t>
      </w:r>
      <w:r w:rsidR="00787AA0" w:rsidRPr="00FB58CB">
        <w:rPr>
          <w:rFonts w:ascii="Times New Roman" w:hAnsi="Times New Roman" w:cs="Times New Roman"/>
          <w:b/>
          <w:bCs/>
          <w:i w:val="0"/>
          <w:iCs w:val="0"/>
          <w:sz w:val="28"/>
          <w:szCs w:val="28"/>
          <w:lang w:val="en-GB"/>
        </w:rPr>
        <w:t xml:space="preserve"> </w:t>
      </w:r>
      <w:r w:rsidR="00CF09BC">
        <w:rPr>
          <w:rFonts w:ascii="Times New Roman" w:hAnsi="Times New Roman" w:cs="Times New Roman"/>
          <w:b/>
          <w:bCs/>
          <w:i w:val="0"/>
          <w:iCs w:val="0"/>
          <w:sz w:val="28"/>
          <w:szCs w:val="28"/>
          <w:lang w:val="en-GB"/>
        </w:rPr>
        <w:t>3</w:t>
      </w:r>
      <w:r w:rsidR="00787AA0" w:rsidRPr="00FB58CB">
        <w:rPr>
          <w:rFonts w:ascii="Times New Roman" w:hAnsi="Times New Roman" w:cs="Times New Roman"/>
          <w:b/>
          <w:bCs/>
          <w:i w:val="0"/>
          <w:iCs w:val="0"/>
          <w:sz w:val="28"/>
          <w:szCs w:val="28"/>
          <w:lang w:val="en-GB"/>
        </w:rPr>
        <w:t xml:space="preserve">: </w:t>
      </w:r>
      <w:r w:rsidR="00787AA0" w:rsidRPr="00787AA0">
        <w:rPr>
          <w:rFonts w:ascii="Times New Roman" w:hAnsi="Times New Roman" w:cs="Times New Roman"/>
          <w:b/>
          <w:bCs/>
          <w:i w:val="0"/>
          <w:iCs w:val="0"/>
          <w:sz w:val="28"/>
          <w:szCs w:val="28"/>
          <w:lang w:val="en-GB"/>
        </w:rPr>
        <w:t xml:space="preserve">Policy developments before the </w:t>
      </w:r>
      <w:r w:rsidR="00451AC5">
        <w:rPr>
          <w:rFonts w:ascii="Times New Roman" w:hAnsi="Times New Roman" w:cs="Times New Roman"/>
          <w:b/>
          <w:bCs/>
          <w:i w:val="0"/>
          <w:iCs w:val="0"/>
          <w:sz w:val="28"/>
          <w:szCs w:val="28"/>
          <w:lang w:val="en-GB"/>
        </w:rPr>
        <w:t>g</w:t>
      </w:r>
      <w:r w:rsidR="00787AA0" w:rsidRPr="00787AA0">
        <w:rPr>
          <w:rFonts w:ascii="Times New Roman" w:hAnsi="Times New Roman" w:cs="Times New Roman"/>
          <w:b/>
          <w:bCs/>
          <w:i w:val="0"/>
          <w:iCs w:val="0"/>
          <w:sz w:val="28"/>
          <w:szCs w:val="28"/>
          <w:lang w:val="en-GB"/>
        </w:rPr>
        <w:t xml:space="preserve">lobal </w:t>
      </w:r>
      <w:r w:rsidR="00451AC5">
        <w:rPr>
          <w:rFonts w:ascii="Times New Roman" w:hAnsi="Times New Roman" w:cs="Times New Roman"/>
          <w:b/>
          <w:bCs/>
          <w:i w:val="0"/>
          <w:iCs w:val="0"/>
          <w:sz w:val="28"/>
          <w:szCs w:val="28"/>
          <w:lang w:val="en-GB"/>
        </w:rPr>
        <w:t>f</w:t>
      </w:r>
      <w:r w:rsidR="00787AA0" w:rsidRPr="00787AA0">
        <w:rPr>
          <w:rFonts w:ascii="Times New Roman" w:hAnsi="Times New Roman" w:cs="Times New Roman"/>
          <w:b/>
          <w:bCs/>
          <w:i w:val="0"/>
          <w:iCs w:val="0"/>
          <w:sz w:val="28"/>
          <w:szCs w:val="28"/>
          <w:lang w:val="en-GB"/>
        </w:rPr>
        <w:t xml:space="preserve">inancial </w:t>
      </w:r>
      <w:r w:rsidR="00451AC5">
        <w:rPr>
          <w:rFonts w:ascii="Times New Roman" w:hAnsi="Times New Roman" w:cs="Times New Roman"/>
          <w:b/>
          <w:bCs/>
          <w:i w:val="0"/>
          <w:iCs w:val="0"/>
          <w:sz w:val="28"/>
          <w:szCs w:val="28"/>
          <w:lang w:val="en-GB"/>
        </w:rPr>
        <w:t>c</w:t>
      </w:r>
      <w:r w:rsidR="00787AA0" w:rsidRPr="00787AA0">
        <w:rPr>
          <w:rFonts w:ascii="Times New Roman" w:hAnsi="Times New Roman" w:cs="Times New Roman"/>
          <w:b/>
          <w:bCs/>
          <w:i w:val="0"/>
          <w:iCs w:val="0"/>
          <w:sz w:val="28"/>
          <w:szCs w:val="28"/>
          <w:lang w:val="en-GB"/>
        </w:rPr>
        <w:t>risis</w:t>
      </w:r>
    </w:p>
    <w:p w14:paraId="4E914600" w14:textId="4629CEB1" w:rsidR="00B37BAE" w:rsidRPr="009E47EC" w:rsidRDefault="00B37BAE" w:rsidP="00B37BAE">
      <w:pPr>
        <w:spacing w:line="360" w:lineRule="auto"/>
        <w:jc w:val="both"/>
        <w:rPr>
          <w:rFonts w:ascii="Times New Roman" w:hAnsi="Times New Roman" w:cs="Times New Roman"/>
          <w:lang w:val="en-GB"/>
        </w:rPr>
      </w:pPr>
      <w:r w:rsidRPr="009E47EC">
        <w:rPr>
          <w:rFonts w:ascii="Times New Roman" w:hAnsi="Times New Roman" w:cs="Times New Roman"/>
          <w:lang w:val="en-GB"/>
        </w:rPr>
        <w:t xml:space="preserve">Rooted in environmental movements, Germany was a frontrunner in decarbonisation policy since the early 1990s especially through its early model of transition towards a sustainable energy system (the </w:t>
      </w:r>
      <w:r w:rsidRPr="009E47EC">
        <w:rPr>
          <w:rFonts w:ascii="Times New Roman" w:hAnsi="Times New Roman" w:cs="Times New Roman"/>
          <w:i/>
          <w:iCs/>
          <w:lang w:val="en-GB"/>
        </w:rPr>
        <w:t>Energiewende</w:t>
      </w:r>
      <w:r w:rsidRPr="009E47EC">
        <w:rPr>
          <w:rFonts w:ascii="Times New Roman" w:hAnsi="Times New Roman" w:cs="Times New Roman"/>
          <w:lang w:val="en-GB"/>
        </w:rPr>
        <w:t xml:space="preserve">) </w:t>
      </w:r>
      <w:r w:rsidRPr="009E47EC">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&lt;EndNote&gt;&lt;Cite&gt;&lt;Author&gt;Jänicke&lt;/Author&gt;&lt;Year&gt;2016&lt;/Year&gt;&lt;RecNum&gt;829&lt;/RecNum&gt;&lt;DisplayText&gt;(Jänicke, 2016; Ollier et al., 2022)&lt;/DisplayText&gt;&lt;record&gt;&lt;rec-number&gt;829&lt;/rec-number&gt;&lt;foreign-keys&gt;&lt;key app="EN" db-id="zap5wezzop9xpwe0awepz55lfafptea5pr2w" timestamp="1647339624"&gt;829&lt;/key&gt;&lt;/foreign-keys&gt;&lt;ref-type name="Journal Article"&gt;17&lt;/ref-type&gt;&lt;contributors&gt;&lt;authors&gt;&lt;author&gt;Jänicke, Martin&lt;/author&gt;&lt;/authors&gt;&lt;/contributors&gt;&lt;titles&gt;&lt;title&gt;Innovation and climate leadership&lt;/title&gt;&lt;secondary-title&gt;The European Union in International Climate Change Politics: Still Taking a Lead?&lt;/secondary-title&gt;&lt;/titles&gt;&lt;periodical&gt;&lt;full-title&gt;The European Union in International Climate Change Politics: Still Taking a Lead?&lt;/full-title&gt;&lt;/periodical&gt;&lt;pages&gt;114&lt;/pages&gt;&lt;volume&gt;1&lt;/volume&gt;&lt;dates&gt;&lt;year&gt;2016&lt;/year&gt;&lt;/dates&gt;&lt;isbn&gt;1317237307&lt;/isbn&gt;&lt;urls&gt;&lt;/urls&gt;&lt;/record&gt;&lt;/Cite&gt;&lt;Cite&gt;&lt;Author&gt;Ollier&lt;/Author&gt;&lt;Year&gt;2022&lt;/Year&gt;&lt;RecNum&gt;849&lt;/RecNum&gt;&lt;record&gt;&lt;rec-number&gt;849&lt;/rec-number&gt;&lt;foreign-keys&gt;&lt;key app="EN" db-id="zap5wezzop9xpwe0awepz55lfafptea5pr2w" timestamp="1647528213"&gt;849&lt;/key&gt;&lt;/foreign-keys&gt;&lt;ref-type name="Journal Article"&gt;17&lt;/ref-type&gt;&lt;contributors&gt;&lt;authors&gt;&lt;author&gt;Ollier, Lana&lt;/author&gt;&lt;author&gt;Metz, Florence&lt;/author&gt;&lt;author&gt;Nuñez-Jimenez, Alejandro&lt;/author&gt;&lt;author&gt;Späth, Leonhard&lt;/author&gt;&lt;author&gt;Lilliestam, Johan&lt;/author&gt;&lt;/authors&gt;&lt;/contributors&gt;&lt;titles&gt;&lt;title&gt;The European 2030 climate and energy package: do domestic strategy adaptations precede EU policy change?&lt;/title&gt;&lt;secondary-title&gt;Policy sciences&lt;/secondary-title&gt;&lt;/titles&gt;&lt;periodical&gt;&lt;full-title&gt;Policy Sciences&lt;/full-title&gt;&lt;abbr-1&gt;Policy Sciences&lt;/abbr-1&gt;&lt;/periodical&gt;&lt;pages&gt;1-24&lt;/pages&gt;&lt;dates&gt;&lt;year&gt;2022&lt;/year&gt;&lt;/dates&gt;&lt;isbn&gt;1573-0891&lt;/isbn&gt;&lt;urls&gt;&lt;/urls&gt;&lt;/record&gt;&lt;/Cite&gt;&lt;/EndNote&gt;</w:instrText>
      </w:r>
      <w:r w:rsidRPr="009E47EC">
        <w:rPr>
          <w:rFonts w:ascii="Times New Roman" w:hAnsi="Times New Roman" w:cs="Times New Roman"/>
          <w:lang w:val="en-GB"/>
        </w:rPr>
        <w:fldChar w:fldCharType="separate"/>
      </w:r>
      <w:r>
        <w:rPr>
          <w:rFonts w:ascii="Times New Roman" w:hAnsi="Times New Roman" w:cs="Times New Roman"/>
          <w:noProof/>
          <w:lang w:val="en-GB"/>
        </w:rPr>
        <w:t>(Jänicke, 2016; Ollier et al., 2022)</w:t>
      </w:r>
      <w:r w:rsidRPr="009E47EC">
        <w:rPr>
          <w:rFonts w:ascii="Times New Roman" w:hAnsi="Times New Roman" w:cs="Times New Roman"/>
          <w:lang w:val="en-GB"/>
        </w:rPr>
        <w:fldChar w:fldCharType="end"/>
      </w:r>
      <w:r w:rsidRPr="009E47EC">
        <w:rPr>
          <w:rFonts w:ascii="Times New Roman" w:hAnsi="Times New Roman" w:cs="Times New Roman"/>
          <w:lang w:val="en-GB"/>
        </w:rPr>
        <w:t xml:space="preserve">. In 1991, the Electricity Feed-In Act introduced feed-in tariffs (FIT) for electricity from renewable energy sources. After the 1998 elections, the Green party entered government for the first time in a coalition with the Social Democrats. The “Red-Green” coalition scaled up German climate policy with the adoption of the Renewable Energy Sources Act (EEG) in 2000 as the cornerstone of the country’s renewable energy policy until today </w:t>
      </w:r>
      <w:r w:rsidRPr="009E47EC">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&lt;EndNote&gt;&lt;Cite&gt;&lt;Author&gt;Cheung&lt;/Author&gt;&lt;Year&gt;2019&lt;/Year&gt;&lt;RecNum&gt;884&lt;/RecNum&gt;&lt;DisplayText&gt;(Cheung et al., 2019)&lt;/DisplayText&gt;&lt;record&gt;&lt;rec-number&gt;884&lt;/rec-number&gt;&lt;foreign-keys&gt;&lt;key app="EN" db-id="zap5wezzop9xpwe0awepz55lfafptea5pr2w" timestamp="1658154941"&gt;884&lt;/key&gt;&lt;/foreign-keys&gt;&lt;ref-type name="Journal Article"&gt;17&lt;/ref-type&gt;&lt;contributors&gt;&lt;authors&gt;&lt;author&gt;Cheung, Grace&lt;/author&gt;&lt;author&gt;Davies, Peter J&lt;/author&gt;&lt;author&gt;Bassen, Alexander&lt;/author&gt;&lt;/authors&gt;&lt;/contributors&gt;&lt;titles&gt;&lt;title&gt;In the transition of energy systems: What lessons can be learnt from the German achievement?&lt;/title&gt;&lt;secondary-title&gt;Energy Policy&lt;/secondary-title&gt;&lt;/titles&gt;&lt;periodical&gt;&lt;full-title&gt;Energy Policy&lt;/full-title&gt;&lt;abbr-1&gt;Energy Policy&lt;/abbr-1&gt;&lt;/periodical&gt;&lt;pages&gt;633-646&lt;/pages&gt;&lt;volume&gt;132&lt;/volume&gt;&lt;dates&gt;&lt;year&gt;2019&lt;/year&gt;&lt;/dates&gt;&lt;isbn&gt;0301-4215&lt;/isbn&gt;&lt;urls&gt;&lt;/urls&gt;&lt;/record&gt;&lt;/Cite&gt;&lt;/EndNote&gt;</w:instrText>
      </w:r>
      <w:r w:rsidRPr="009E47EC">
        <w:rPr>
          <w:rFonts w:ascii="Times New Roman" w:hAnsi="Times New Roman" w:cs="Times New Roman"/>
          <w:lang w:val="en-GB"/>
        </w:rPr>
        <w:fldChar w:fldCharType="separate"/>
      </w:r>
      <w:r>
        <w:rPr>
          <w:rFonts w:ascii="Times New Roman" w:hAnsi="Times New Roman" w:cs="Times New Roman"/>
          <w:noProof/>
          <w:lang w:val="en-GB"/>
        </w:rPr>
        <w:t>(Cheung et al., 2019)</w:t>
      </w:r>
      <w:r w:rsidRPr="009E47EC">
        <w:rPr>
          <w:rFonts w:ascii="Times New Roman" w:hAnsi="Times New Roman" w:cs="Times New Roman"/>
          <w:lang w:val="en-GB"/>
        </w:rPr>
        <w:fldChar w:fldCharType="end"/>
      </w:r>
      <w:r w:rsidRPr="009E47EC">
        <w:rPr>
          <w:rFonts w:ascii="Times New Roman" w:hAnsi="Times New Roman" w:cs="Times New Roman"/>
          <w:lang w:val="en-GB"/>
        </w:rPr>
        <w:t xml:space="preserve">. It significantly increased the renumeration and scope of the existing FIT scheme for renewable power and thereby triggered a rapid expansion of wind and solar in the early 2000s. The German leadership ambition in climate policy was enshrined with the 2007 Integrated Energy and Climate Programme, including a -40% GHG emissions target for 2020 compared to 1990. Taken together, the development of an ambitious climate and renewable energy policy by successive German governments resulted in the achievement of the Kyoto target (-21% emissions by 2012) and the 2010 target for renewable power (10%) already by 2007 </w:t>
      </w:r>
      <w:r w:rsidRPr="009E47EC">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&lt;EndNote&gt;&lt;Cite&gt;&lt;Author&gt;Jänicke&lt;/Author&gt;&lt;Year&gt;2016&lt;/Year&gt;&lt;RecNum&gt;829&lt;/RecNum&gt;&lt;DisplayText&gt;(Jänicke, 2016)&lt;/DisplayText&gt;&lt;record&gt;&lt;rec-number&gt;829&lt;/rec-number&gt;&lt;foreign-keys&gt;&lt;key app="EN" db-id="zap5wezzop9xpwe0awepz55lfafptea5pr2w" timestamp="1647339624"&gt;829&lt;/key&gt;&lt;/foreign-keys&gt;&lt;ref-type name="Journal Article"&gt;17&lt;/ref-type&gt;&lt;contributors&gt;&lt;authors&gt;&lt;author&gt;Jänicke, Martin&lt;/author&gt;&lt;/authors&gt;&lt;/contributors&gt;&lt;titles&gt;&lt;title&gt;Innovation and climate leadership&lt;/title&gt;&lt;secondary-title&gt;The European Union in International Climate Change Politics: Still Taking a Lead?&lt;/secondary-title&gt;&lt;/titles&gt;&lt;periodical&gt;&lt;full-title&gt;The European Union in International Climate Change Politics: Still Taking a Lead?&lt;/full-title&gt;&lt;/periodical&gt;&lt;pages&gt;114&lt;/pages&gt;&lt;volume&gt;1&lt;/volume&gt;&lt;dates&gt;&lt;year&gt;2016&lt;/year&gt;&lt;/dates&gt;&lt;isbn&gt;1317237307&lt;/isbn&gt;&lt;urls&gt;&lt;/urls&gt;&lt;/record&gt;&lt;/Cite&gt;&lt;/EndNote&gt;</w:instrText>
      </w:r>
      <w:r w:rsidRPr="009E47EC">
        <w:rPr>
          <w:rFonts w:ascii="Times New Roman" w:hAnsi="Times New Roman" w:cs="Times New Roman"/>
          <w:lang w:val="en-GB"/>
        </w:rPr>
        <w:fldChar w:fldCharType="separate"/>
      </w:r>
      <w:r>
        <w:rPr>
          <w:rFonts w:ascii="Times New Roman" w:hAnsi="Times New Roman" w:cs="Times New Roman"/>
          <w:noProof/>
          <w:lang w:val="en-GB"/>
        </w:rPr>
        <w:t>(Jänicke, 2016)</w:t>
      </w:r>
      <w:r w:rsidRPr="009E47EC">
        <w:rPr>
          <w:rFonts w:ascii="Times New Roman" w:hAnsi="Times New Roman" w:cs="Times New Roman"/>
          <w:lang w:val="en-GB"/>
        </w:rPr>
        <w:fldChar w:fldCharType="end"/>
      </w:r>
      <w:r w:rsidRPr="009E47EC">
        <w:rPr>
          <w:rFonts w:ascii="Times New Roman" w:hAnsi="Times New Roman" w:cs="Times New Roman"/>
          <w:lang w:val="en-GB"/>
        </w:rPr>
        <w:t>.</w:t>
      </w:r>
    </w:p>
    <w:p w14:paraId="363744EB" w14:textId="6F297435" w:rsidR="00B37BAE" w:rsidRPr="004411D6" w:rsidRDefault="00B37BAE" w:rsidP="00B37BAE">
      <w:pPr>
        <w:spacing w:line="360" w:lineRule="auto"/>
        <w:jc w:val="both"/>
        <w:rPr>
          <w:rFonts w:ascii="Times New Roman" w:hAnsi="Times New Roman" w:cs="Times New Roman"/>
          <w:lang w:val="en-GB"/>
        </w:rPr>
      </w:pPr>
      <w:r w:rsidRPr="009E47EC">
        <w:rPr>
          <w:rFonts w:ascii="Times New Roman" w:hAnsi="Times New Roman" w:cs="Times New Roman"/>
          <w:lang w:val="en-GB"/>
        </w:rPr>
        <w:t>Spain started developing national climate policy capacities in the early 2000s, driven by an increasing number of policy instruments adopted at the European level. In light of its booming economic development rooted in energy- and CO</w:t>
      </w:r>
      <w:r w:rsidRPr="009E47EC">
        <w:rPr>
          <w:rFonts w:ascii="Times New Roman" w:hAnsi="Times New Roman" w:cs="Times New Roman"/>
          <w:vertAlign w:val="subscript"/>
          <w:lang w:val="en-GB"/>
        </w:rPr>
        <w:t>2</w:t>
      </w:r>
      <w:r w:rsidRPr="009E47EC">
        <w:rPr>
          <w:rFonts w:ascii="Times New Roman" w:hAnsi="Times New Roman" w:cs="Times New Roman"/>
          <w:lang w:val="en-GB"/>
        </w:rPr>
        <w:t xml:space="preserve">-intensive sectors like construction, Spain was cautious about the EU’s climate policies and upcoming targets, as it faced rapidly rising emissions from its carbon-intensive economic growth that showed no sign of slowing down in the early 2000s. Despite being a climate policy laggard among the EU-15, Spain emerged as a frontrunner in renewable energy policy from 2000 onwards. The first Spanish FIT scheme for renewable energy, providing a guaranteed offset premium to producers was adopted in 1997 </w:t>
      </w:r>
      <w:r w:rsidRPr="009E47EC">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&lt;EndNote&gt;&lt;Cite&gt;&lt;Author&gt;Solorio&lt;/Author&gt;&lt;Year&gt;2017&lt;/Year&gt;&lt;RecNum&gt;871&lt;/RecNum&gt;&lt;DisplayText&gt;(Solorio &amp;amp; Fernandez, 2017)&lt;/DisplayText&gt;&lt;record&gt;&lt;rec-number&gt;871&lt;/rec-number&gt;&lt;foreign-keys&gt;&lt;key app="EN" db-id="zap5wezzop9xpwe0awepz55lfafptea5pr2w" timestamp="1655737765"&gt;871&lt;/key&gt;&lt;/foreign-keys&gt;&lt;ref-type name="Book Section"&gt;5&lt;/ref-type&gt;&lt;contributors&gt;&lt;authors&gt;&lt;author&gt;Solorio, Israel&lt;/author&gt;&lt;author&gt;Fernandez, Rosa&lt;/author&gt;&lt;/authors&gt;&lt;/contributors&gt;&lt;titles&gt;&lt;title&gt;Spain and renewable energy promotion: Europeanization upside down&lt;/title&gt;&lt;secondary-title&gt;A Guide to EU Renewable Energy Policy&lt;/secondary-title&gt;&lt;/titles&gt;&lt;dates&gt;&lt;year&gt;2017&lt;/year&gt;&lt;/dates&gt;&lt;publisher&gt;Edward Elgar Publishing&lt;/publisher&gt;&lt;urls&gt;&lt;/urls&gt;&lt;/record&gt;&lt;/Cite&gt;&lt;/EndNote&gt;</w:instrText>
      </w:r>
      <w:r w:rsidRPr="009E47EC">
        <w:rPr>
          <w:rFonts w:ascii="Times New Roman" w:hAnsi="Times New Roman" w:cs="Times New Roman"/>
          <w:lang w:val="en-GB"/>
        </w:rPr>
        <w:fldChar w:fldCharType="separate"/>
      </w:r>
      <w:r>
        <w:rPr>
          <w:rFonts w:ascii="Times New Roman" w:hAnsi="Times New Roman" w:cs="Times New Roman"/>
          <w:noProof/>
          <w:lang w:val="en-GB"/>
        </w:rPr>
        <w:t>(Solorio &amp; Fernandez, 2017)</w:t>
      </w:r>
      <w:r w:rsidRPr="009E47EC">
        <w:rPr>
          <w:rFonts w:ascii="Times New Roman" w:hAnsi="Times New Roman" w:cs="Times New Roman"/>
          <w:lang w:val="en-GB"/>
        </w:rPr>
        <w:fldChar w:fldCharType="end"/>
      </w:r>
      <w:r w:rsidRPr="009E47EC">
        <w:rPr>
          <w:rFonts w:ascii="Times New Roman" w:hAnsi="Times New Roman" w:cs="Times New Roman"/>
          <w:lang w:val="en-GB"/>
        </w:rPr>
        <w:t xml:space="preserve">. Driven by this regulation, rising electricity demand and an inflow of European capital, the Spanish renewable energy sector expanded rapidly in the early 2000s: by 2006, 19% of electricity was provided by renewables. Despite increasing problems with the electricity grid and an escalating electricity tariff deficit, the government adopted a revision to the existing FIT framework which significantly increased the premiums for new PV installations in 2007. The same year, the Spanish framework strategy for climate policy until 2020 was published, Strategy </w:t>
      </w:r>
      <w:r w:rsidRPr="009E47EC">
        <w:rPr>
          <w:rFonts w:ascii="Times New Roman" w:hAnsi="Times New Roman" w:cs="Times New Roman"/>
          <w:lang w:val="en-GB"/>
        </w:rPr>
        <w:fldChar w:fldCharType="begin"/>
      </w:r>
      <w:r>
        <w:rPr>
          <w:rFonts w:ascii="Times New Roman" w:hAnsi="Times New Roman" w:cs="Times New Roman"/>
          <w:lang w:val="en-GB"/>
        </w:rPr>
        <w:instrText xml:space="preserve"> ADDIN EN.CITE &lt;EndNote&gt;&lt;Cite&gt;&lt;Author&gt;Solorio&lt;/Author&gt;&lt;Year&gt;2016&lt;/Year&gt;&lt;RecNum&gt;872&lt;/RecNum&gt;&lt;DisplayText&gt;(Solorio, 2016)&lt;/DisplayText&gt;&lt;record&gt;&lt;rec-number&gt;872&lt;/rec-number&gt;&lt;foreign-keys&gt;&lt;key app="EN" db-id="zap5wezzop9xpwe0awepz55lfafptea5pr2w" timestamp="1655737836"&gt;872&lt;/key&gt;&lt;/foreign-keys&gt;&lt;ref-type name="Book Section"&gt;5&lt;/ref-type&gt;&lt;contributors&gt;&lt;authors&gt;&lt;author&gt;Solorio, Israel&lt;/author&gt;&lt;/authors&gt;&lt;/contributors&gt;&lt;titles&gt;&lt;title&gt;Spanish climate change policy in a changing landscape&lt;/title&gt;&lt;secondary-title&gt;The European Union in International Climate Change Politics&lt;/secondary-title&gt;&lt;/titles&gt;&lt;pages&gt;183-196&lt;/pages&gt;&lt;dates&gt;&lt;year&gt;2016&lt;/year&gt;&lt;/dates&gt;&lt;publisher&gt;Routledge&lt;/publisher&gt;&lt;isbn&gt;1315627191&lt;/isbn&gt;&lt;urls&gt;&lt;/urls&gt;&lt;/record&gt;&lt;/Cite&gt;&lt;/EndNote&gt;</w:instrText>
      </w:r>
      <w:r w:rsidRPr="009E47EC">
        <w:rPr>
          <w:rFonts w:ascii="Times New Roman" w:hAnsi="Times New Roman" w:cs="Times New Roman"/>
          <w:lang w:val="en-GB"/>
        </w:rPr>
        <w:fldChar w:fldCharType="separate"/>
      </w:r>
      <w:r>
        <w:rPr>
          <w:rFonts w:ascii="Times New Roman" w:hAnsi="Times New Roman" w:cs="Times New Roman"/>
          <w:noProof/>
          <w:lang w:val="en-GB"/>
        </w:rPr>
        <w:t>(Solorio, 2016)</w:t>
      </w:r>
      <w:r w:rsidRPr="009E47EC">
        <w:rPr>
          <w:rFonts w:ascii="Times New Roman" w:hAnsi="Times New Roman" w:cs="Times New Roman"/>
          <w:lang w:val="en-GB"/>
        </w:rPr>
        <w:fldChar w:fldCharType="end"/>
      </w:r>
      <w:r w:rsidRPr="009E47EC">
        <w:rPr>
          <w:rFonts w:ascii="Times New Roman" w:hAnsi="Times New Roman" w:cs="Times New Roman"/>
          <w:lang w:val="en-GB"/>
        </w:rPr>
        <w:t>.</w:t>
      </w:r>
      <w:r w:rsidRPr="004411D6">
        <w:rPr>
          <w:rFonts w:ascii="Times New Roman" w:hAnsi="Times New Roman" w:cs="Times New Roman"/>
          <w:lang w:val="en-GB"/>
        </w:rPr>
        <w:t xml:space="preserve">  </w:t>
      </w:r>
    </w:p>
    <w:p w14:paraId="463919B3" w14:textId="77777777" w:rsidR="00B37BAE" w:rsidRPr="00B37BAE" w:rsidRDefault="00B37BAE" w:rsidP="006F4619">
      <w:pPr>
        <w:pStyle w:val="EndNoteBibliography"/>
        <w:spacing w:after="0"/>
        <w:ind w:left="720" w:hanging="720"/>
        <w:rPr>
          <w:lang w:val="en-GB"/>
        </w:rPr>
      </w:pPr>
    </w:p>
    <w:p w14:paraId="681A8529" w14:textId="77777777" w:rsidR="0028474D" w:rsidRDefault="0028474D">
      <w:pPr>
        <w:rPr>
          <w:rFonts w:ascii="Times New Roman" w:hAnsi="Times New Roman" w:cs="Times New Roman"/>
          <w:b/>
          <w:bCs/>
          <w:color w:val="44546A" w:themeColor="text2"/>
          <w:sz w:val="28"/>
          <w:szCs w:val="28"/>
          <w:lang w:val="en-GB"/>
        </w:rPr>
      </w:pPr>
      <w:r>
        <w:rPr>
          <w:rFonts w:ascii="Times New Roman" w:hAnsi="Times New Roman" w:cs="Times New Roman"/>
          <w:b/>
          <w:bCs/>
          <w:i/>
          <w:iCs/>
          <w:sz w:val="28"/>
          <w:szCs w:val="28"/>
          <w:lang w:val="en-GB"/>
        </w:rPr>
        <w:br w:type="page"/>
      </w:r>
    </w:p>
    <w:tbl>
      <w:tblPr>
        <w:tblpPr w:leftFromText="141" w:rightFromText="141" w:vertAnchor="page" w:horzAnchor="margin" w:tblpY="1851"/>
        <w:tblW w:w="9062" w:type="dxa"/>
        <w:tblCellMar>
          <w:left w:w="0" w:type="dxa"/>
          <w:right w:w="0" w:type="dxa"/>
        </w:tblCellMar>
        <w:tblLook w:val="04A0" w:firstRow="1" w:lastRow="0" w:firstColumn="1" w:lastColumn="0" w:noHBand="0" w:noVBand="1"/>
      </w:tblPr>
      <w:tblGrid>
        <w:gridCol w:w="1550"/>
        <w:gridCol w:w="6095"/>
        <w:gridCol w:w="1417"/>
      </w:tblGrid>
      <w:tr w:rsidR="002959FA" w:rsidRPr="00C36CD8" w14:paraId="560187E5" w14:textId="77777777" w:rsidTr="002959FA">
        <w:trPr>
          <w:trHeight w:val="520"/>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4EAC807D" w14:textId="77777777" w:rsidR="002959FA" w:rsidRPr="00C36CD8" w:rsidRDefault="002959FA" w:rsidP="002959FA">
            <w:pPr>
              <w:autoSpaceDE w:val="0"/>
              <w:autoSpaceDN w:val="0"/>
              <w:adjustRightInd w:val="0"/>
              <w:spacing w:after="0" w:line="240" w:lineRule="auto"/>
              <w:rPr>
                <w:rFonts w:ascii="Times New Roman" w:hAnsi="Times New Roman" w:cs="Times New Roman"/>
                <w:b/>
                <w:bCs/>
                <w:lang w:val="en-GB"/>
              </w:rPr>
            </w:pPr>
            <w:r w:rsidRPr="0087176D">
              <w:rPr>
                <w:rFonts w:ascii="Times New Roman" w:eastAsia="Calibri" w:hAnsi="Times New Roman" w:cs="Times New Roman"/>
                <w:b/>
                <w:bCs/>
                <w:color w:val="000000" w:themeColor="text1"/>
                <w:kern w:val="24"/>
                <w:lang w:val="en-US" w:eastAsia="de-DE"/>
              </w:rPr>
              <w:lastRenderedPageBreak/>
              <w:t>Sector</w:t>
            </w:r>
          </w:p>
        </w:tc>
        <w:tc>
          <w:tcPr>
            <w:tcW w:w="6095" w:type="dxa"/>
            <w:tcBorders>
              <w:top w:val="single" w:sz="8" w:space="0" w:color="000000"/>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4ACA1BEB" w14:textId="77777777" w:rsidR="002959FA" w:rsidRPr="00C36CD8" w:rsidRDefault="002959FA" w:rsidP="002959FA">
            <w:pPr>
              <w:autoSpaceDE w:val="0"/>
              <w:autoSpaceDN w:val="0"/>
              <w:adjustRightInd w:val="0"/>
              <w:spacing w:after="0" w:line="240" w:lineRule="auto"/>
              <w:rPr>
                <w:rFonts w:ascii="Times New Roman" w:hAnsi="Times New Roman" w:cs="Times New Roman"/>
                <w:b/>
                <w:bCs/>
                <w:lang w:val="en-GB"/>
              </w:rPr>
            </w:pPr>
            <w:r w:rsidRPr="0087176D">
              <w:rPr>
                <w:rFonts w:ascii="Times New Roman" w:eastAsia="Calibri" w:hAnsi="Times New Roman" w:cs="Times New Roman"/>
                <w:b/>
                <w:bCs/>
                <w:color w:val="000000" w:themeColor="text1"/>
                <w:kern w:val="24"/>
                <w:lang w:val="en-US" w:eastAsia="de-DE"/>
              </w:rPr>
              <w:t>Description</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469DDE69" w14:textId="77777777" w:rsidR="002959FA" w:rsidRPr="0087176D" w:rsidRDefault="002959FA" w:rsidP="002959FA">
            <w:pPr>
              <w:spacing w:after="0" w:line="256" w:lineRule="auto"/>
              <w:jc w:val="center"/>
              <w:textAlignment w:val="top"/>
              <w:rPr>
                <w:rFonts w:ascii="Times New Roman" w:eastAsia="Times New Roman" w:hAnsi="Times New Roman" w:cs="Times New Roman"/>
                <w:lang w:eastAsia="de-DE"/>
              </w:rPr>
            </w:pPr>
            <w:r w:rsidRPr="0087176D">
              <w:rPr>
                <w:rFonts w:ascii="Times New Roman" w:eastAsia="Calibri" w:hAnsi="Times New Roman" w:cs="Times New Roman"/>
                <w:b/>
                <w:bCs/>
                <w:color w:val="000000" w:themeColor="text1"/>
                <w:kern w:val="24"/>
                <w:lang w:val="en-US" w:eastAsia="de-DE"/>
              </w:rPr>
              <w:t xml:space="preserve">Budget </w:t>
            </w:r>
          </w:p>
          <w:p w14:paraId="316A4C65" w14:textId="77777777" w:rsidR="002959FA" w:rsidRPr="00C36CD8" w:rsidRDefault="002959FA" w:rsidP="002959FA">
            <w:pPr>
              <w:autoSpaceDE w:val="0"/>
              <w:autoSpaceDN w:val="0"/>
              <w:adjustRightInd w:val="0"/>
              <w:spacing w:after="0" w:line="240" w:lineRule="auto"/>
              <w:rPr>
                <w:rFonts w:ascii="Times New Roman" w:hAnsi="Times New Roman" w:cs="Times New Roman"/>
                <w:b/>
                <w:bCs/>
                <w:lang w:val="en-GB"/>
              </w:rPr>
            </w:pPr>
            <w:r w:rsidRPr="0087176D">
              <w:rPr>
                <w:rFonts w:ascii="Times New Roman" w:eastAsia="Calibri" w:hAnsi="Times New Roman" w:cs="Times New Roman"/>
                <w:color w:val="000000" w:themeColor="text1"/>
                <w:kern w:val="24"/>
                <w:lang w:val="en-US" w:eastAsia="de-DE"/>
              </w:rPr>
              <w:t>(million</w:t>
            </w:r>
            <w:r>
              <w:rPr>
                <w:rFonts w:ascii="Times New Roman" w:eastAsia="Calibri" w:hAnsi="Times New Roman" w:cs="Times New Roman"/>
                <w:color w:val="000000" w:themeColor="text1"/>
                <w:kern w:val="24"/>
                <w:lang w:val="en-US" w:eastAsia="de-DE"/>
              </w:rPr>
              <w:t xml:space="preserve"> </w:t>
            </w:r>
            <w:r w:rsidRPr="0087176D">
              <w:rPr>
                <w:rFonts w:ascii="Times New Roman" w:eastAsia="Calibri" w:hAnsi="Times New Roman" w:cs="Times New Roman"/>
                <w:color w:val="000000" w:themeColor="text1"/>
                <w:kern w:val="24"/>
                <w:lang w:val="en-US" w:eastAsia="de-DE"/>
              </w:rPr>
              <w:t>€)</w:t>
            </w:r>
          </w:p>
        </w:tc>
      </w:tr>
      <w:tr w:rsidR="002959FA" w:rsidRPr="00C36CD8" w14:paraId="5185C9D0" w14:textId="77777777" w:rsidTr="002959FA">
        <w:trPr>
          <w:trHeight w:val="651"/>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13C747CB" w14:textId="77777777" w:rsidR="002959FA" w:rsidRPr="00C36CD8" w:rsidRDefault="002959FA" w:rsidP="002959FA">
            <w:pPr>
              <w:autoSpaceDE w:val="0"/>
              <w:autoSpaceDN w:val="0"/>
              <w:adjustRightInd w:val="0"/>
              <w:spacing w:after="0" w:line="240" w:lineRule="auto"/>
              <w:rPr>
                <w:rFonts w:ascii="Times New Roman" w:hAnsi="Times New Roman" w:cs="Times New Roman"/>
              </w:rPr>
            </w:pPr>
            <w:r>
              <w:rPr>
                <w:rFonts w:ascii="Times New Roman" w:hAnsi="Times New Roman" w:cs="Times New Roman"/>
                <w:lang w:val="en-US"/>
              </w:rPr>
              <w:t>Housing</w:t>
            </w:r>
          </w:p>
        </w:tc>
        <w:tc>
          <w:tcPr>
            <w:tcW w:w="6095" w:type="dxa"/>
            <w:tcBorders>
              <w:top w:val="single" w:sz="8" w:space="0" w:color="000000"/>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5F19E3ED" w14:textId="77777777" w:rsidR="002959FA" w:rsidRPr="00C36CD8" w:rsidRDefault="002959FA" w:rsidP="002959FA">
            <w:pPr>
              <w:autoSpaceDE w:val="0"/>
              <w:autoSpaceDN w:val="0"/>
              <w:adjustRightInd w:val="0"/>
              <w:spacing w:after="0" w:line="240" w:lineRule="auto"/>
              <w:rPr>
                <w:rFonts w:ascii="Times New Roman" w:hAnsi="Times New Roman" w:cs="Times New Roman"/>
                <w:lang w:val="en-GB"/>
              </w:rPr>
            </w:pPr>
            <w:r>
              <w:rPr>
                <w:rFonts w:ascii="Times New Roman" w:hAnsi="Times New Roman" w:cs="Times New Roman"/>
                <w:lang w:val="en-US"/>
              </w:rPr>
              <w:t>Public i</w:t>
            </w:r>
            <w:r w:rsidRPr="00C36CD8">
              <w:rPr>
                <w:rFonts w:ascii="Times New Roman" w:hAnsi="Times New Roman" w:cs="Times New Roman" w:hint="cs"/>
                <w:lang w:val="en-US"/>
              </w:rPr>
              <w:t xml:space="preserve">nvestment for improving energy efficiency in public buildings, primarily school and university buildings </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7F49E93D" w14:textId="77777777" w:rsidR="002959FA" w:rsidRPr="00C36CD8" w:rsidRDefault="002959FA" w:rsidP="002959FA">
            <w:pPr>
              <w:autoSpaceDE w:val="0"/>
              <w:autoSpaceDN w:val="0"/>
              <w:adjustRightInd w:val="0"/>
              <w:spacing w:after="0" w:line="240" w:lineRule="auto"/>
              <w:rPr>
                <w:rFonts w:ascii="Times New Roman" w:hAnsi="Times New Roman" w:cs="Times New Roman"/>
              </w:rPr>
            </w:pPr>
            <w:r w:rsidRPr="00C36CD8">
              <w:rPr>
                <w:rFonts w:ascii="Times New Roman" w:hAnsi="Times New Roman" w:cs="Times New Roman" w:hint="cs"/>
                <w:lang w:val="en-US"/>
              </w:rPr>
              <w:t>€ 3300</w:t>
            </w:r>
          </w:p>
        </w:tc>
      </w:tr>
      <w:tr w:rsidR="002959FA" w:rsidRPr="00C36CD8" w14:paraId="240032BB" w14:textId="77777777" w:rsidTr="002959FA">
        <w:trPr>
          <w:trHeight w:val="378"/>
        </w:trPr>
        <w:tc>
          <w:tcPr>
            <w:tcW w:w="1550" w:type="dxa"/>
            <w:vMerge w:val="restart"/>
            <w:tcBorders>
              <w:top w:val="single" w:sz="8" w:space="0" w:color="000000"/>
              <w:left w:val="single" w:sz="8" w:space="0" w:color="000000"/>
              <w:right w:val="single" w:sz="8" w:space="0" w:color="000000"/>
            </w:tcBorders>
            <w:shd w:val="clear" w:color="auto" w:fill="auto"/>
            <w:tcMar>
              <w:top w:w="27" w:type="dxa"/>
              <w:left w:w="197" w:type="dxa"/>
              <w:bottom w:w="0" w:type="dxa"/>
              <w:right w:w="197" w:type="dxa"/>
            </w:tcMar>
            <w:hideMark/>
          </w:tcPr>
          <w:p w14:paraId="149C05C2" w14:textId="77777777" w:rsidR="002959FA" w:rsidRDefault="002959FA" w:rsidP="002959FA">
            <w:pPr>
              <w:autoSpaceDE w:val="0"/>
              <w:autoSpaceDN w:val="0"/>
              <w:adjustRightInd w:val="0"/>
              <w:spacing w:after="0" w:line="240" w:lineRule="auto"/>
              <w:rPr>
                <w:rFonts w:ascii="Times New Roman" w:hAnsi="Times New Roman" w:cs="Times New Roman"/>
                <w:lang w:val="en-US"/>
              </w:rPr>
            </w:pPr>
          </w:p>
          <w:p w14:paraId="4095AB1C" w14:textId="77777777" w:rsidR="002959FA" w:rsidRDefault="002959FA" w:rsidP="002959FA">
            <w:pPr>
              <w:autoSpaceDE w:val="0"/>
              <w:autoSpaceDN w:val="0"/>
              <w:adjustRightInd w:val="0"/>
              <w:spacing w:after="0" w:line="240" w:lineRule="auto"/>
              <w:rPr>
                <w:rFonts w:ascii="Times New Roman" w:hAnsi="Times New Roman" w:cs="Times New Roman"/>
                <w:lang w:val="en-US"/>
              </w:rPr>
            </w:pPr>
          </w:p>
          <w:p w14:paraId="48D21D86" w14:textId="77777777" w:rsidR="002959FA" w:rsidRDefault="002959FA" w:rsidP="002959FA">
            <w:pPr>
              <w:autoSpaceDE w:val="0"/>
              <w:autoSpaceDN w:val="0"/>
              <w:adjustRightInd w:val="0"/>
              <w:spacing w:after="0" w:line="240" w:lineRule="auto"/>
              <w:rPr>
                <w:rFonts w:ascii="Times New Roman" w:hAnsi="Times New Roman" w:cs="Times New Roman"/>
                <w:lang w:val="en-US"/>
              </w:rPr>
            </w:pPr>
          </w:p>
          <w:p w14:paraId="3FC37B0A" w14:textId="77777777" w:rsidR="002959FA" w:rsidRPr="00C36CD8" w:rsidRDefault="002959FA" w:rsidP="002959FA">
            <w:pPr>
              <w:autoSpaceDE w:val="0"/>
              <w:autoSpaceDN w:val="0"/>
              <w:adjustRightInd w:val="0"/>
              <w:spacing w:after="0" w:line="240" w:lineRule="auto"/>
              <w:rPr>
                <w:rFonts w:ascii="Times New Roman" w:hAnsi="Times New Roman" w:cs="Times New Roman"/>
              </w:rPr>
            </w:pPr>
            <w:r w:rsidRPr="00C36CD8">
              <w:rPr>
                <w:rFonts w:ascii="Times New Roman" w:hAnsi="Times New Roman" w:cs="Times New Roman" w:hint="cs"/>
                <w:lang w:val="en-US"/>
              </w:rPr>
              <w:t>Transport</w:t>
            </w:r>
          </w:p>
        </w:tc>
        <w:tc>
          <w:tcPr>
            <w:tcW w:w="6095" w:type="dxa"/>
            <w:tcBorders>
              <w:top w:val="single" w:sz="8" w:space="0" w:color="000000"/>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495414E9" w14:textId="77777777" w:rsidR="002959FA" w:rsidRPr="00C36CD8" w:rsidRDefault="002959FA" w:rsidP="002959FA">
            <w:pPr>
              <w:autoSpaceDE w:val="0"/>
              <w:autoSpaceDN w:val="0"/>
              <w:adjustRightInd w:val="0"/>
              <w:spacing w:after="0" w:line="240" w:lineRule="auto"/>
              <w:rPr>
                <w:rFonts w:ascii="Times New Roman" w:hAnsi="Times New Roman" w:cs="Times New Roman"/>
                <w:lang w:val="en-GB"/>
              </w:rPr>
            </w:pPr>
            <w:r w:rsidRPr="00C36CD8">
              <w:rPr>
                <w:rFonts w:ascii="Times New Roman" w:hAnsi="Times New Roman" w:cs="Times New Roman" w:hint="cs"/>
                <w:lang w:val="en-US"/>
              </w:rPr>
              <w:t xml:space="preserve">R&amp;D </w:t>
            </w:r>
            <w:r>
              <w:rPr>
                <w:rFonts w:ascii="Times New Roman" w:hAnsi="Times New Roman" w:cs="Times New Roman"/>
                <w:lang w:val="en-US"/>
              </w:rPr>
              <w:t>support for</w:t>
            </w:r>
            <w:r w:rsidRPr="00C36CD8">
              <w:rPr>
                <w:rFonts w:ascii="Times New Roman" w:hAnsi="Times New Roman" w:cs="Times New Roman" w:hint="cs"/>
                <w:lang w:val="en-US"/>
              </w:rPr>
              <w:t xml:space="preserve"> alternative mobility (</w:t>
            </w:r>
            <w:r>
              <w:rPr>
                <w:rFonts w:ascii="Times New Roman" w:hAnsi="Times New Roman" w:cs="Times New Roman"/>
                <w:lang w:val="en-US"/>
              </w:rPr>
              <w:t>especially hybrid and</w:t>
            </w:r>
            <w:r w:rsidRPr="00C36CD8">
              <w:rPr>
                <w:rFonts w:ascii="Times New Roman" w:hAnsi="Times New Roman" w:cs="Times New Roman" w:hint="cs"/>
                <w:lang w:val="en-US"/>
              </w:rPr>
              <w:t xml:space="preserve"> </w:t>
            </w:r>
            <w:r>
              <w:rPr>
                <w:rFonts w:ascii="Times New Roman" w:hAnsi="Times New Roman" w:cs="Times New Roman"/>
                <w:lang w:val="en-US"/>
              </w:rPr>
              <w:t>electro-mobility</w:t>
            </w:r>
            <w:r w:rsidRPr="00C36CD8">
              <w:rPr>
                <w:rFonts w:ascii="Times New Roman" w:hAnsi="Times New Roman" w:cs="Times New Roman" w:hint="cs"/>
                <w:lang w:val="en-US"/>
              </w:rPr>
              <w:t>).</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39B30629" w14:textId="77777777" w:rsidR="002959FA" w:rsidRPr="00C36CD8" w:rsidRDefault="002959FA" w:rsidP="002959FA">
            <w:pPr>
              <w:autoSpaceDE w:val="0"/>
              <w:autoSpaceDN w:val="0"/>
              <w:adjustRightInd w:val="0"/>
              <w:spacing w:after="0" w:line="240" w:lineRule="auto"/>
              <w:rPr>
                <w:rFonts w:ascii="Times New Roman" w:hAnsi="Times New Roman" w:cs="Times New Roman"/>
              </w:rPr>
            </w:pPr>
            <w:r w:rsidRPr="00C36CD8">
              <w:rPr>
                <w:rFonts w:ascii="Times New Roman" w:hAnsi="Times New Roman" w:cs="Times New Roman" w:hint="cs"/>
                <w:lang w:val="en-US"/>
              </w:rPr>
              <w:t>€ 500</w:t>
            </w:r>
          </w:p>
        </w:tc>
      </w:tr>
      <w:tr w:rsidR="002959FA" w:rsidRPr="00C36CD8" w14:paraId="3E3BC5B4" w14:textId="77777777" w:rsidTr="002959FA">
        <w:trPr>
          <w:trHeight w:val="654"/>
        </w:trPr>
        <w:tc>
          <w:tcPr>
            <w:tcW w:w="1550" w:type="dxa"/>
            <w:vMerge/>
            <w:tcBorders>
              <w:left w:val="single" w:sz="8" w:space="0" w:color="000000"/>
              <w:right w:val="single" w:sz="8" w:space="0" w:color="000000"/>
            </w:tcBorders>
            <w:shd w:val="clear" w:color="auto" w:fill="auto"/>
            <w:tcMar>
              <w:top w:w="27" w:type="dxa"/>
              <w:left w:w="197" w:type="dxa"/>
              <w:bottom w:w="0" w:type="dxa"/>
              <w:right w:w="197" w:type="dxa"/>
            </w:tcMar>
            <w:hideMark/>
          </w:tcPr>
          <w:p w14:paraId="36A6EFA0" w14:textId="77777777" w:rsidR="002959FA" w:rsidRPr="00C36CD8" w:rsidRDefault="002959FA" w:rsidP="002959FA">
            <w:pPr>
              <w:autoSpaceDE w:val="0"/>
              <w:autoSpaceDN w:val="0"/>
              <w:adjustRightInd w:val="0"/>
              <w:spacing w:after="0" w:line="240" w:lineRule="auto"/>
              <w:rPr>
                <w:rFonts w:ascii="Times New Roman" w:hAnsi="Times New Roman" w:cs="Times New Roman"/>
              </w:rPr>
            </w:pPr>
          </w:p>
        </w:tc>
        <w:tc>
          <w:tcPr>
            <w:tcW w:w="6095" w:type="dxa"/>
            <w:tcBorders>
              <w:top w:val="single" w:sz="8" w:space="0" w:color="000000"/>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3D438FBD" w14:textId="77777777" w:rsidR="002959FA" w:rsidRPr="00C36CD8" w:rsidRDefault="002959FA" w:rsidP="002959FA">
            <w:pPr>
              <w:autoSpaceDE w:val="0"/>
              <w:autoSpaceDN w:val="0"/>
              <w:adjustRightInd w:val="0"/>
              <w:spacing w:after="0" w:line="240" w:lineRule="auto"/>
              <w:rPr>
                <w:rFonts w:ascii="Times New Roman" w:hAnsi="Times New Roman" w:cs="Times New Roman"/>
                <w:lang w:val="en-GB"/>
              </w:rPr>
            </w:pPr>
            <w:r w:rsidRPr="00C36CD8">
              <w:rPr>
                <w:rFonts w:ascii="Times New Roman" w:hAnsi="Times New Roman" w:cs="Times New Roman" w:hint="cs"/>
                <w:lang w:val="en-US"/>
              </w:rPr>
              <w:t xml:space="preserve">A €5bn car scrappage scheme provides owners of cars more than nine years old with €2,500 </w:t>
            </w:r>
            <w:r>
              <w:rPr>
                <w:rFonts w:ascii="Times New Roman" w:hAnsi="Times New Roman" w:cs="Times New Roman"/>
                <w:lang w:val="en-US"/>
              </w:rPr>
              <w:t xml:space="preserve">subsidy </w:t>
            </w:r>
            <w:r w:rsidRPr="00C36CD8">
              <w:rPr>
                <w:rFonts w:ascii="Times New Roman" w:hAnsi="Times New Roman" w:cs="Times New Roman" w:hint="cs"/>
                <w:lang w:val="en-US"/>
              </w:rPr>
              <w:t xml:space="preserve">for the purchase of a new car </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63EE0B7E" w14:textId="77777777" w:rsidR="002959FA" w:rsidRPr="00C36CD8" w:rsidRDefault="002959FA" w:rsidP="002959FA">
            <w:pPr>
              <w:autoSpaceDE w:val="0"/>
              <w:autoSpaceDN w:val="0"/>
              <w:adjustRightInd w:val="0"/>
              <w:spacing w:after="0" w:line="240" w:lineRule="auto"/>
              <w:rPr>
                <w:rFonts w:ascii="Times New Roman" w:hAnsi="Times New Roman" w:cs="Times New Roman"/>
              </w:rPr>
            </w:pPr>
            <w:r w:rsidRPr="00C36CD8">
              <w:rPr>
                <w:rFonts w:ascii="Times New Roman" w:hAnsi="Times New Roman" w:cs="Times New Roman" w:hint="cs"/>
                <w:lang w:val="en-US"/>
              </w:rPr>
              <w:t>€ 5000</w:t>
            </w:r>
          </w:p>
        </w:tc>
      </w:tr>
      <w:tr w:rsidR="002959FA" w:rsidRPr="00C36CD8" w14:paraId="2649567D" w14:textId="77777777" w:rsidTr="002959FA">
        <w:trPr>
          <w:trHeight w:val="663"/>
        </w:trPr>
        <w:tc>
          <w:tcPr>
            <w:tcW w:w="1550" w:type="dxa"/>
            <w:vMerge/>
            <w:tcBorders>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161C5792" w14:textId="77777777" w:rsidR="002959FA" w:rsidRPr="00C36CD8" w:rsidRDefault="002959FA" w:rsidP="002959FA">
            <w:pPr>
              <w:autoSpaceDE w:val="0"/>
              <w:autoSpaceDN w:val="0"/>
              <w:adjustRightInd w:val="0"/>
              <w:spacing w:after="0" w:line="240" w:lineRule="auto"/>
              <w:rPr>
                <w:rFonts w:ascii="Times New Roman" w:hAnsi="Times New Roman" w:cs="Times New Roman"/>
              </w:rPr>
            </w:pPr>
          </w:p>
        </w:tc>
        <w:tc>
          <w:tcPr>
            <w:tcW w:w="6095" w:type="dxa"/>
            <w:tcBorders>
              <w:top w:val="single" w:sz="8" w:space="0" w:color="000000"/>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585832F6" w14:textId="77777777" w:rsidR="002959FA" w:rsidRPr="00C36CD8" w:rsidRDefault="002959FA" w:rsidP="002959FA">
            <w:pPr>
              <w:autoSpaceDE w:val="0"/>
              <w:autoSpaceDN w:val="0"/>
              <w:adjustRightInd w:val="0"/>
              <w:spacing w:after="0" w:line="240" w:lineRule="auto"/>
              <w:rPr>
                <w:rFonts w:ascii="Times New Roman" w:hAnsi="Times New Roman" w:cs="Times New Roman"/>
                <w:lang w:val="en-GB"/>
              </w:rPr>
            </w:pPr>
            <w:r>
              <w:rPr>
                <w:rFonts w:ascii="Times New Roman" w:hAnsi="Times New Roman" w:cs="Times New Roman"/>
                <w:lang w:val="en-US"/>
              </w:rPr>
              <w:t xml:space="preserve">Green tax reduction - </w:t>
            </w:r>
            <w:r w:rsidRPr="00C36CD8">
              <w:rPr>
                <w:rFonts w:ascii="Times New Roman" w:hAnsi="Times New Roman" w:cs="Times New Roman" w:hint="cs"/>
                <w:lang w:val="en-US"/>
              </w:rPr>
              <w:t>Revision of motor vehicle tax from 1 July 2009. CO2-emissions of passenger cars are included in the taxable base</w:t>
            </w:r>
          </w:p>
        </w:tc>
        <w:tc>
          <w:tcPr>
            <w:tcW w:w="1417" w:type="dxa"/>
            <w:tcBorders>
              <w:top w:val="single" w:sz="8" w:space="0" w:color="000000"/>
              <w:left w:val="single" w:sz="8" w:space="0" w:color="000000"/>
              <w:bottom w:val="single" w:sz="8" w:space="0" w:color="000000"/>
              <w:right w:val="single" w:sz="8" w:space="0" w:color="000000"/>
            </w:tcBorders>
            <w:shd w:val="clear" w:color="auto" w:fill="auto"/>
            <w:tcMar>
              <w:top w:w="27" w:type="dxa"/>
              <w:left w:w="197" w:type="dxa"/>
              <w:bottom w:w="0" w:type="dxa"/>
              <w:right w:w="197" w:type="dxa"/>
            </w:tcMar>
            <w:hideMark/>
          </w:tcPr>
          <w:p w14:paraId="4AA7E6AD" w14:textId="77777777" w:rsidR="002959FA" w:rsidRPr="00C36CD8" w:rsidRDefault="002959FA" w:rsidP="002959FA">
            <w:pPr>
              <w:autoSpaceDE w:val="0"/>
              <w:autoSpaceDN w:val="0"/>
              <w:adjustRightInd w:val="0"/>
              <w:spacing w:after="0" w:line="240" w:lineRule="auto"/>
              <w:rPr>
                <w:rFonts w:ascii="Times New Roman" w:hAnsi="Times New Roman" w:cs="Times New Roman"/>
              </w:rPr>
            </w:pPr>
            <w:r w:rsidRPr="00C36CD8">
              <w:rPr>
                <w:rFonts w:ascii="Times New Roman" w:hAnsi="Times New Roman" w:cs="Times New Roman" w:hint="cs"/>
                <w:lang w:val="en-US"/>
              </w:rPr>
              <w:t>€ 1800</w:t>
            </w:r>
          </w:p>
        </w:tc>
      </w:tr>
    </w:tbl>
    <w:p w14:paraId="661937B1" w14:textId="7CA94024" w:rsidR="0028474D" w:rsidRDefault="002959FA" w:rsidP="0028474D">
      <w:pPr>
        <w:pStyle w:val="Caption"/>
        <w:keepNext/>
        <w:rPr>
          <w:rFonts w:ascii="Times New Roman" w:hAnsi="Times New Roman" w:cs="Times New Roman"/>
          <w:b/>
          <w:bCs/>
          <w:i w:val="0"/>
          <w:iCs w:val="0"/>
          <w:sz w:val="28"/>
          <w:szCs w:val="28"/>
          <w:lang w:val="en-GB"/>
        </w:rPr>
      </w:pPr>
      <w:r>
        <w:rPr>
          <w:rFonts w:ascii="Times New Roman" w:hAnsi="Times New Roman" w:cs="Times New Roman"/>
          <w:b/>
          <w:bCs/>
          <w:i w:val="0"/>
          <w:iCs w:val="0"/>
          <w:sz w:val="28"/>
          <w:szCs w:val="28"/>
          <w:lang w:val="en-GB"/>
        </w:rPr>
        <w:t xml:space="preserve"> </w:t>
      </w:r>
      <w:r w:rsidR="000C4F88">
        <w:rPr>
          <w:rFonts w:ascii="Times New Roman" w:hAnsi="Times New Roman" w:cs="Times New Roman"/>
          <w:b/>
          <w:bCs/>
          <w:i w:val="0"/>
          <w:iCs w:val="0"/>
          <w:sz w:val="28"/>
          <w:szCs w:val="28"/>
          <w:lang w:val="en-GB"/>
        </w:rPr>
        <w:t>Note</w:t>
      </w:r>
      <w:r>
        <w:rPr>
          <w:rFonts w:ascii="Times New Roman" w:hAnsi="Times New Roman" w:cs="Times New Roman"/>
          <w:b/>
          <w:bCs/>
          <w:i w:val="0"/>
          <w:iCs w:val="0"/>
          <w:sz w:val="28"/>
          <w:szCs w:val="28"/>
          <w:lang w:val="en-GB"/>
        </w:rPr>
        <w:t xml:space="preserve"> </w:t>
      </w:r>
      <w:r w:rsidR="0028474D">
        <w:rPr>
          <w:rFonts w:ascii="Times New Roman" w:hAnsi="Times New Roman" w:cs="Times New Roman"/>
          <w:b/>
          <w:bCs/>
          <w:i w:val="0"/>
          <w:iCs w:val="0"/>
          <w:sz w:val="28"/>
          <w:szCs w:val="28"/>
          <w:lang w:val="en-GB"/>
        </w:rPr>
        <w:t>4</w:t>
      </w:r>
      <w:r w:rsidR="0028474D" w:rsidRPr="00FB58CB">
        <w:rPr>
          <w:rFonts w:ascii="Times New Roman" w:hAnsi="Times New Roman" w:cs="Times New Roman"/>
          <w:b/>
          <w:bCs/>
          <w:i w:val="0"/>
          <w:iCs w:val="0"/>
          <w:sz w:val="28"/>
          <w:szCs w:val="28"/>
          <w:lang w:val="en-GB"/>
        </w:rPr>
        <w:t xml:space="preserve">: </w:t>
      </w:r>
      <w:r w:rsidR="0028474D">
        <w:rPr>
          <w:rFonts w:ascii="Times New Roman" w:hAnsi="Times New Roman" w:cs="Times New Roman"/>
          <w:b/>
          <w:bCs/>
          <w:i w:val="0"/>
          <w:iCs w:val="0"/>
          <w:sz w:val="28"/>
          <w:szCs w:val="28"/>
          <w:lang w:val="en-GB"/>
        </w:rPr>
        <w:t xml:space="preserve">Recovery packages during the </w:t>
      </w:r>
      <w:r w:rsidR="0058161D">
        <w:rPr>
          <w:rFonts w:ascii="Times New Roman" w:hAnsi="Times New Roman" w:cs="Times New Roman"/>
          <w:b/>
          <w:bCs/>
          <w:i w:val="0"/>
          <w:iCs w:val="0"/>
          <w:sz w:val="28"/>
          <w:szCs w:val="28"/>
          <w:lang w:val="en-GB"/>
        </w:rPr>
        <w:t>g</w:t>
      </w:r>
      <w:r w:rsidR="0058161D" w:rsidRPr="00787AA0">
        <w:rPr>
          <w:rFonts w:ascii="Times New Roman" w:hAnsi="Times New Roman" w:cs="Times New Roman"/>
          <w:b/>
          <w:bCs/>
          <w:i w:val="0"/>
          <w:iCs w:val="0"/>
          <w:sz w:val="28"/>
          <w:szCs w:val="28"/>
          <w:lang w:val="en-GB"/>
        </w:rPr>
        <w:t xml:space="preserve">lobal </w:t>
      </w:r>
      <w:r w:rsidR="0058161D">
        <w:rPr>
          <w:rFonts w:ascii="Times New Roman" w:hAnsi="Times New Roman" w:cs="Times New Roman"/>
          <w:b/>
          <w:bCs/>
          <w:i w:val="0"/>
          <w:iCs w:val="0"/>
          <w:sz w:val="28"/>
          <w:szCs w:val="28"/>
          <w:lang w:val="en-GB"/>
        </w:rPr>
        <w:t>f</w:t>
      </w:r>
      <w:r w:rsidR="0058161D" w:rsidRPr="00787AA0">
        <w:rPr>
          <w:rFonts w:ascii="Times New Roman" w:hAnsi="Times New Roman" w:cs="Times New Roman"/>
          <w:b/>
          <w:bCs/>
          <w:i w:val="0"/>
          <w:iCs w:val="0"/>
          <w:sz w:val="28"/>
          <w:szCs w:val="28"/>
          <w:lang w:val="en-GB"/>
        </w:rPr>
        <w:t xml:space="preserve">inancial </w:t>
      </w:r>
      <w:r w:rsidR="0058161D">
        <w:rPr>
          <w:rFonts w:ascii="Times New Roman" w:hAnsi="Times New Roman" w:cs="Times New Roman"/>
          <w:b/>
          <w:bCs/>
          <w:i w:val="0"/>
          <w:iCs w:val="0"/>
          <w:sz w:val="28"/>
          <w:szCs w:val="28"/>
          <w:lang w:val="en-GB"/>
        </w:rPr>
        <w:t>c</w:t>
      </w:r>
      <w:r w:rsidR="0058161D" w:rsidRPr="00787AA0">
        <w:rPr>
          <w:rFonts w:ascii="Times New Roman" w:hAnsi="Times New Roman" w:cs="Times New Roman"/>
          <w:b/>
          <w:bCs/>
          <w:i w:val="0"/>
          <w:iCs w:val="0"/>
          <w:sz w:val="28"/>
          <w:szCs w:val="28"/>
          <w:lang w:val="en-GB"/>
        </w:rPr>
        <w:t>risis</w:t>
      </w:r>
      <w:r w:rsidR="0028474D">
        <w:rPr>
          <w:rFonts w:ascii="Times New Roman" w:hAnsi="Times New Roman" w:cs="Times New Roman"/>
          <w:b/>
          <w:bCs/>
          <w:i w:val="0"/>
          <w:iCs w:val="0"/>
          <w:sz w:val="28"/>
          <w:szCs w:val="28"/>
          <w:lang w:val="en-GB"/>
        </w:rPr>
        <w:t>.</w:t>
      </w:r>
    </w:p>
    <w:p w14:paraId="4F773196" w14:textId="67CF2D10" w:rsidR="00B37BAE" w:rsidRDefault="0028474D">
      <w:pPr>
        <w:rPr>
          <w:rFonts w:ascii="Times New Roman" w:hAnsi="Times New Roman" w:cs="Times New Roman"/>
          <w:noProof/>
          <w:sz w:val="20"/>
          <w:szCs w:val="20"/>
          <w:lang w:val="en-GB"/>
        </w:rPr>
      </w:pPr>
      <w:r w:rsidRPr="0028474D">
        <w:rPr>
          <w:rFonts w:ascii="Times New Roman" w:hAnsi="Times New Roman" w:cs="Times New Roman"/>
          <w:b/>
          <w:bCs/>
          <w:noProof/>
          <w:sz w:val="20"/>
          <w:szCs w:val="20"/>
          <w:lang w:val="en-GB"/>
        </w:rPr>
        <w:t xml:space="preserve">Table </w:t>
      </w:r>
      <w:r>
        <w:rPr>
          <w:rFonts w:ascii="Times New Roman" w:hAnsi="Times New Roman" w:cs="Times New Roman"/>
          <w:b/>
          <w:bCs/>
          <w:noProof/>
          <w:sz w:val="20"/>
          <w:szCs w:val="20"/>
          <w:lang w:val="en-GB"/>
        </w:rPr>
        <w:t>S</w:t>
      </w:r>
      <w:r w:rsidR="00526FD5">
        <w:rPr>
          <w:rFonts w:ascii="Times New Roman" w:hAnsi="Times New Roman" w:cs="Times New Roman"/>
          <w:b/>
          <w:bCs/>
          <w:noProof/>
          <w:sz w:val="20"/>
          <w:szCs w:val="20"/>
          <w:lang w:val="en-GB"/>
        </w:rPr>
        <w:t>M</w:t>
      </w:r>
      <w:r>
        <w:rPr>
          <w:rFonts w:ascii="Times New Roman" w:hAnsi="Times New Roman" w:cs="Times New Roman"/>
          <w:b/>
          <w:bCs/>
          <w:noProof/>
          <w:sz w:val="20"/>
          <w:szCs w:val="20"/>
          <w:lang w:val="en-GB"/>
        </w:rPr>
        <w:t>4</w:t>
      </w:r>
      <w:r w:rsidRPr="0028474D">
        <w:rPr>
          <w:rFonts w:ascii="Times New Roman" w:hAnsi="Times New Roman" w:cs="Times New Roman"/>
          <w:b/>
          <w:bCs/>
          <w:noProof/>
          <w:sz w:val="20"/>
          <w:szCs w:val="20"/>
          <w:lang w:val="en-GB"/>
        </w:rPr>
        <w:t>: Main green spending elements of the German recovery package during the Global Financial Crisis</w:t>
      </w:r>
      <w:r>
        <w:rPr>
          <w:rFonts w:ascii="Calibri" w:hAnsi="Calibri" w:cs="Calibri"/>
          <w:noProof/>
          <w:lang w:val="en-GB"/>
        </w:rPr>
        <w:t xml:space="preserve">. </w:t>
      </w:r>
      <w:r w:rsidRPr="0028474D">
        <w:rPr>
          <w:rFonts w:ascii="Times New Roman" w:hAnsi="Times New Roman" w:cs="Times New Roman"/>
          <w:noProof/>
          <w:sz w:val="20"/>
          <w:szCs w:val="20"/>
          <w:lang w:val="en-GB"/>
        </w:rPr>
        <w:t xml:space="preserve">Source: </w:t>
      </w:r>
      <w:r w:rsidRPr="0028474D">
        <w:rPr>
          <w:rFonts w:ascii="Times New Roman" w:hAnsi="Times New Roman" w:cs="Times New Roman"/>
          <w:noProof/>
          <w:sz w:val="20"/>
          <w:szCs w:val="20"/>
          <w:lang w:val="en-GB"/>
        </w:rPr>
        <w:fldChar w:fldCharType="begin"/>
      </w:r>
      <w:r w:rsidRPr="0028474D">
        <w:rPr>
          <w:rFonts w:ascii="Times New Roman" w:hAnsi="Times New Roman" w:cs="Times New Roman"/>
          <w:noProof/>
          <w:sz w:val="20"/>
          <w:szCs w:val="20"/>
          <w:lang w:val="en-GB"/>
        </w:rPr>
        <w:instrText xml:space="preserve"> ADDIN EN.CITE &lt;EndNote&gt;&lt;Cite&gt;&lt;Author&gt;Pollitt&lt;/Author&gt;&lt;Year&gt;2011&lt;/Year&gt;&lt;RecNum&gt;243&lt;/RecNum&gt;&lt;DisplayText&gt;(Pollitt, 2011)&lt;/DisplayText&gt;&lt;record&gt;&lt;rec-number&gt;243&lt;/rec-number&gt;&lt;foreign-keys&gt;&lt;key app="EN" db-id="zap5wezzop9xpwe0awepz55lfafptea5pr2w" timestamp="1614423315"&gt;243&lt;/key&gt;&lt;/foreign-keys&gt;&lt;ref-type name="Journal Article"&gt;17&lt;/ref-type&gt;&lt;contributors&gt;&lt;authors&gt;&lt;author&gt;Pollitt, Hector&lt;/author&gt;&lt;/authors&gt;&lt;/contributors&gt;&lt;titles&gt;&lt;title&gt;Assessing the implementation and impact of green elements of Member States’ National Recovery Plans&lt;/title&gt;&lt;secondary-title&gt;Final Report for the European Commission (DG Environment).-UK Cambridge Econometrics&lt;/secondary-title&gt;&lt;/titles&gt;&lt;dates&gt;&lt;year&gt;2011&lt;/year&gt;&lt;/dates&gt;&lt;urls&gt;&lt;/urls&gt;&lt;/record&gt;&lt;/Cite&gt;&lt;/EndNote&gt;</w:instrText>
      </w:r>
      <w:r w:rsidRPr="0028474D">
        <w:rPr>
          <w:rFonts w:ascii="Times New Roman" w:hAnsi="Times New Roman" w:cs="Times New Roman"/>
          <w:noProof/>
          <w:sz w:val="20"/>
          <w:szCs w:val="20"/>
          <w:lang w:val="en-GB"/>
        </w:rPr>
        <w:fldChar w:fldCharType="separate"/>
      </w:r>
      <w:r w:rsidRPr="0028474D">
        <w:rPr>
          <w:rFonts w:ascii="Times New Roman" w:hAnsi="Times New Roman" w:cs="Times New Roman"/>
          <w:noProof/>
          <w:sz w:val="20"/>
          <w:szCs w:val="20"/>
          <w:lang w:val="en-GB"/>
        </w:rPr>
        <w:t>(Pollitt, 2011)</w:t>
      </w:r>
      <w:r w:rsidRPr="0028474D">
        <w:rPr>
          <w:rFonts w:ascii="Times New Roman" w:hAnsi="Times New Roman" w:cs="Times New Roman"/>
          <w:noProof/>
          <w:sz w:val="20"/>
          <w:szCs w:val="20"/>
          <w:lang w:val="en-GB"/>
        </w:rPr>
        <w:fldChar w:fldCharType="end"/>
      </w:r>
      <w:r>
        <w:rPr>
          <w:rFonts w:ascii="Times New Roman" w:hAnsi="Times New Roman" w:cs="Times New Roman"/>
          <w:noProof/>
          <w:sz w:val="20"/>
          <w:szCs w:val="20"/>
          <w:lang w:val="en-GB"/>
        </w:rPr>
        <w:t>.</w:t>
      </w:r>
    </w:p>
    <w:tbl>
      <w:tblPr>
        <w:tblW w:w="9062" w:type="dxa"/>
        <w:tblLayout w:type="fixed"/>
        <w:tblCellMar>
          <w:left w:w="0" w:type="dxa"/>
          <w:right w:w="0" w:type="dxa"/>
        </w:tblCellMar>
        <w:tblLook w:val="04A0" w:firstRow="1" w:lastRow="0" w:firstColumn="1" w:lastColumn="0" w:noHBand="0" w:noVBand="1"/>
      </w:tblPr>
      <w:tblGrid>
        <w:gridCol w:w="1550"/>
        <w:gridCol w:w="6237"/>
        <w:gridCol w:w="1275"/>
      </w:tblGrid>
      <w:tr w:rsidR="001A6384" w:rsidRPr="0087176D" w14:paraId="1A050F02" w14:textId="77777777" w:rsidTr="001A6384">
        <w:trPr>
          <w:trHeight w:val="550"/>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17D13A02" w14:textId="77777777" w:rsidR="001A6384" w:rsidRPr="0087176D" w:rsidRDefault="001A6384" w:rsidP="00864C37">
            <w:pPr>
              <w:spacing w:after="0" w:line="256" w:lineRule="auto"/>
              <w:jc w:val="center"/>
              <w:textAlignment w:val="top"/>
              <w:rPr>
                <w:rFonts w:ascii="Times New Roman" w:eastAsia="Times New Roman" w:hAnsi="Times New Roman" w:cs="Times New Roman"/>
                <w:lang w:eastAsia="de-DE"/>
              </w:rPr>
            </w:pPr>
            <w:r w:rsidRPr="0087176D">
              <w:rPr>
                <w:rFonts w:ascii="Times New Roman" w:eastAsia="Calibri" w:hAnsi="Times New Roman" w:cs="Times New Roman"/>
                <w:b/>
                <w:bCs/>
                <w:color w:val="000000" w:themeColor="text1"/>
                <w:kern w:val="24"/>
                <w:lang w:val="en-US" w:eastAsia="de-DE"/>
              </w:rPr>
              <w:t>Sector</w:t>
            </w:r>
          </w:p>
        </w:tc>
        <w:tc>
          <w:tcPr>
            <w:tcW w:w="6237"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50AB2CF3" w14:textId="77777777" w:rsidR="001A6384" w:rsidRPr="0087176D" w:rsidRDefault="001A6384" w:rsidP="00864C37">
            <w:pPr>
              <w:spacing w:after="0" w:line="256" w:lineRule="auto"/>
              <w:jc w:val="center"/>
              <w:textAlignment w:val="top"/>
              <w:rPr>
                <w:rFonts w:ascii="Times New Roman" w:eastAsia="Times New Roman" w:hAnsi="Times New Roman" w:cs="Times New Roman"/>
                <w:lang w:eastAsia="de-DE"/>
              </w:rPr>
            </w:pPr>
            <w:r w:rsidRPr="0087176D">
              <w:rPr>
                <w:rFonts w:ascii="Times New Roman" w:eastAsia="Calibri" w:hAnsi="Times New Roman" w:cs="Times New Roman"/>
                <w:b/>
                <w:bCs/>
                <w:color w:val="000000" w:themeColor="text1"/>
                <w:kern w:val="24"/>
                <w:lang w:val="en-US" w:eastAsia="de-DE"/>
              </w:rPr>
              <w:t>Description</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51E85864" w14:textId="77777777" w:rsidR="001A6384" w:rsidRPr="0087176D" w:rsidRDefault="001A6384" w:rsidP="00864C37">
            <w:pPr>
              <w:spacing w:after="0" w:line="256" w:lineRule="auto"/>
              <w:jc w:val="center"/>
              <w:textAlignment w:val="top"/>
              <w:rPr>
                <w:rFonts w:ascii="Times New Roman" w:eastAsia="Times New Roman" w:hAnsi="Times New Roman" w:cs="Times New Roman"/>
                <w:lang w:eastAsia="de-DE"/>
              </w:rPr>
            </w:pPr>
            <w:r w:rsidRPr="0087176D">
              <w:rPr>
                <w:rFonts w:ascii="Times New Roman" w:eastAsia="Calibri" w:hAnsi="Times New Roman" w:cs="Times New Roman"/>
                <w:b/>
                <w:bCs/>
                <w:color w:val="000000" w:themeColor="text1"/>
                <w:kern w:val="24"/>
                <w:lang w:val="en-US" w:eastAsia="de-DE"/>
              </w:rPr>
              <w:t xml:space="preserve">Budget </w:t>
            </w:r>
          </w:p>
          <w:p w14:paraId="5993E6AB" w14:textId="77777777" w:rsidR="001A6384" w:rsidRPr="0087176D" w:rsidRDefault="001A6384" w:rsidP="00864C37">
            <w:pPr>
              <w:spacing w:after="0" w:line="256" w:lineRule="auto"/>
              <w:jc w:val="center"/>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(million</w:t>
            </w:r>
            <w:r>
              <w:rPr>
                <w:rFonts w:ascii="Times New Roman" w:eastAsia="Calibri" w:hAnsi="Times New Roman" w:cs="Times New Roman"/>
                <w:color w:val="000000" w:themeColor="text1"/>
                <w:kern w:val="24"/>
                <w:lang w:val="en-US" w:eastAsia="de-DE"/>
              </w:rPr>
              <w:t xml:space="preserve"> </w:t>
            </w:r>
            <w:r w:rsidRPr="0087176D">
              <w:rPr>
                <w:rFonts w:ascii="Times New Roman" w:eastAsia="Calibri" w:hAnsi="Times New Roman" w:cs="Times New Roman"/>
                <w:color w:val="000000" w:themeColor="text1"/>
                <w:kern w:val="24"/>
                <w:lang w:val="en-US" w:eastAsia="de-DE"/>
              </w:rPr>
              <w:t>€)</w:t>
            </w:r>
          </w:p>
        </w:tc>
      </w:tr>
      <w:tr w:rsidR="001A6384" w:rsidRPr="0087176D" w14:paraId="5D72DD38" w14:textId="77777777" w:rsidTr="001A6384">
        <w:trPr>
          <w:trHeight w:val="550"/>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4F1D6DE2" w14:textId="77777777" w:rsidR="001A6384" w:rsidRPr="0087176D" w:rsidRDefault="001A6384" w:rsidP="00864C37">
            <w:pPr>
              <w:spacing w:after="0" w:line="256" w:lineRule="auto"/>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Transport/building/energy</w:t>
            </w:r>
          </w:p>
        </w:tc>
        <w:tc>
          <w:tcPr>
            <w:tcW w:w="6237"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370D4CBF" w14:textId="77777777" w:rsidR="001A6384" w:rsidRPr="0087176D" w:rsidRDefault="001A6384" w:rsidP="00864C37">
            <w:pPr>
              <w:spacing w:after="0" w:line="256" w:lineRule="auto"/>
              <w:textAlignment w:val="top"/>
              <w:rPr>
                <w:rFonts w:ascii="Times New Roman" w:eastAsia="Times New Roman" w:hAnsi="Times New Roman" w:cs="Times New Roman"/>
                <w:lang w:val="en-GB" w:eastAsia="de-DE"/>
              </w:rPr>
            </w:pPr>
            <w:r w:rsidRPr="0087176D">
              <w:rPr>
                <w:rFonts w:ascii="Times New Roman" w:eastAsia="Calibri" w:hAnsi="Times New Roman" w:cs="Times New Roman"/>
                <w:color w:val="000000" w:themeColor="text1"/>
                <w:kern w:val="24"/>
                <w:lang w:val="en-US" w:eastAsia="de-DE"/>
              </w:rPr>
              <w:t>Energy efficiency program (loans, subsidies, direct public expenditures</w:t>
            </w:r>
            <w:r>
              <w:rPr>
                <w:rFonts w:ascii="Times New Roman" w:eastAsia="Calibri" w:hAnsi="Times New Roman" w:cs="Times New Roman"/>
                <w:color w:val="000000" w:themeColor="text1"/>
                <w:kern w:val="24"/>
                <w:lang w:val="en-US" w:eastAsia="de-DE"/>
              </w:rPr>
              <w:t xml:space="preserve"> &amp;</w:t>
            </w:r>
            <w:r w:rsidRPr="0087176D">
              <w:rPr>
                <w:rFonts w:ascii="Times New Roman" w:eastAsia="Calibri" w:hAnsi="Times New Roman" w:cs="Times New Roman"/>
                <w:color w:val="000000" w:themeColor="text1"/>
                <w:kern w:val="24"/>
                <w:lang w:val="en-US" w:eastAsia="de-DE"/>
              </w:rPr>
              <w:t xml:space="preserve"> lower taxes) </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14460678" w14:textId="77777777" w:rsidR="001A6384" w:rsidRPr="0087176D" w:rsidRDefault="001A6384" w:rsidP="00864C37">
            <w:pPr>
              <w:spacing w:after="0" w:line="256" w:lineRule="auto"/>
              <w:jc w:val="right"/>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2207</w:t>
            </w:r>
          </w:p>
        </w:tc>
      </w:tr>
      <w:tr w:rsidR="001A6384" w:rsidRPr="0087176D" w14:paraId="0A8EB722" w14:textId="77777777" w:rsidTr="001A6384">
        <w:trPr>
          <w:trHeight w:val="550"/>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1A9D8CF4" w14:textId="77777777" w:rsidR="001A6384" w:rsidRPr="0087176D" w:rsidRDefault="001A6384" w:rsidP="00864C37">
            <w:pPr>
              <w:spacing w:after="0" w:line="256" w:lineRule="auto"/>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Energy (&amp; health)</w:t>
            </w:r>
          </w:p>
        </w:tc>
        <w:tc>
          <w:tcPr>
            <w:tcW w:w="6237"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29353DCA" w14:textId="77777777" w:rsidR="001A6384" w:rsidRPr="0087176D" w:rsidRDefault="001A6384" w:rsidP="00864C37">
            <w:pPr>
              <w:spacing w:after="0" w:line="256" w:lineRule="auto"/>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 xml:space="preserve">R&amp;D support </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7A903D5B" w14:textId="77777777" w:rsidR="001A6384" w:rsidRPr="0087176D" w:rsidRDefault="001A6384" w:rsidP="00864C37">
            <w:pPr>
              <w:tabs>
                <w:tab w:val="left" w:pos="913"/>
              </w:tabs>
              <w:spacing w:after="0" w:line="256" w:lineRule="auto"/>
              <w:jc w:val="right"/>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 xml:space="preserve"> 490</w:t>
            </w:r>
          </w:p>
        </w:tc>
      </w:tr>
      <w:tr w:rsidR="001A6384" w:rsidRPr="0087176D" w14:paraId="5B17188B" w14:textId="77777777" w:rsidTr="00C32596">
        <w:trPr>
          <w:trHeight w:val="550"/>
        </w:trPr>
        <w:tc>
          <w:tcPr>
            <w:tcW w:w="1550" w:type="dxa"/>
            <w:vMerge w:val="restart"/>
            <w:tcBorders>
              <w:top w:val="single" w:sz="8" w:space="0" w:color="000000"/>
              <w:left w:val="single" w:sz="8" w:space="0" w:color="000000"/>
              <w:right w:val="single" w:sz="8" w:space="0" w:color="000000"/>
            </w:tcBorders>
            <w:shd w:val="clear" w:color="auto" w:fill="auto"/>
            <w:tcMar>
              <w:top w:w="18" w:type="dxa"/>
              <w:left w:w="129" w:type="dxa"/>
              <w:bottom w:w="0" w:type="dxa"/>
              <w:right w:w="129" w:type="dxa"/>
            </w:tcMar>
            <w:hideMark/>
          </w:tcPr>
          <w:p w14:paraId="38C70677" w14:textId="77777777" w:rsidR="001A6384" w:rsidRDefault="001A6384" w:rsidP="00864C37">
            <w:pPr>
              <w:spacing w:after="0" w:line="256" w:lineRule="auto"/>
              <w:textAlignment w:val="top"/>
              <w:rPr>
                <w:rFonts w:ascii="Times New Roman" w:eastAsia="Calibri" w:hAnsi="Times New Roman" w:cs="Times New Roman"/>
                <w:color w:val="000000" w:themeColor="text1"/>
                <w:kern w:val="24"/>
                <w:lang w:val="en-US" w:eastAsia="de-DE"/>
              </w:rPr>
            </w:pPr>
          </w:p>
          <w:p w14:paraId="01370956" w14:textId="77777777" w:rsidR="001A6384" w:rsidRDefault="001A6384" w:rsidP="00864C37">
            <w:pPr>
              <w:spacing w:after="0" w:line="256" w:lineRule="auto"/>
              <w:textAlignment w:val="top"/>
              <w:rPr>
                <w:rFonts w:ascii="Times New Roman" w:eastAsia="Calibri" w:hAnsi="Times New Roman" w:cs="Times New Roman"/>
                <w:color w:val="000000" w:themeColor="text1"/>
                <w:kern w:val="24"/>
                <w:lang w:val="en-US" w:eastAsia="de-DE"/>
              </w:rPr>
            </w:pPr>
          </w:p>
          <w:p w14:paraId="0B3A030A" w14:textId="77777777" w:rsidR="001A6384" w:rsidRDefault="001A6384" w:rsidP="00864C37">
            <w:pPr>
              <w:spacing w:after="0" w:line="256" w:lineRule="auto"/>
              <w:textAlignment w:val="top"/>
              <w:rPr>
                <w:rFonts w:ascii="Times New Roman" w:eastAsia="Calibri" w:hAnsi="Times New Roman" w:cs="Times New Roman"/>
                <w:color w:val="000000" w:themeColor="text1"/>
                <w:kern w:val="24"/>
                <w:lang w:val="en-US" w:eastAsia="de-DE"/>
              </w:rPr>
            </w:pPr>
          </w:p>
          <w:p w14:paraId="20145C8F" w14:textId="376DD2BA" w:rsidR="001A6384" w:rsidRPr="0087176D" w:rsidRDefault="001A6384" w:rsidP="00864C37">
            <w:pPr>
              <w:spacing w:after="0" w:line="256" w:lineRule="auto"/>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Transport</w:t>
            </w:r>
          </w:p>
        </w:tc>
        <w:tc>
          <w:tcPr>
            <w:tcW w:w="6237"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482F9F2F" w14:textId="77777777" w:rsidR="001A6384" w:rsidRPr="0087176D" w:rsidRDefault="001A6384" w:rsidP="00864C37">
            <w:pPr>
              <w:spacing w:after="0" w:line="256" w:lineRule="auto"/>
              <w:textAlignment w:val="top"/>
              <w:rPr>
                <w:rFonts w:ascii="Times New Roman" w:eastAsia="Times New Roman" w:hAnsi="Times New Roman" w:cs="Times New Roman"/>
                <w:lang w:val="en-GB" w:eastAsia="de-DE"/>
              </w:rPr>
            </w:pPr>
            <w:r>
              <w:rPr>
                <w:rFonts w:ascii="Times New Roman" w:eastAsia="Calibri" w:hAnsi="Times New Roman" w:cs="Times New Roman"/>
                <w:color w:val="000000" w:themeColor="text1"/>
                <w:kern w:val="24"/>
                <w:lang w:val="en-US" w:eastAsia="de-DE"/>
              </w:rPr>
              <w:t>Subsidies to i</w:t>
            </w:r>
            <w:r w:rsidRPr="0087176D">
              <w:rPr>
                <w:rFonts w:ascii="Times New Roman" w:eastAsia="Calibri" w:hAnsi="Times New Roman" w:cs="Times New Roman"/>
                <w:color w:val="000000" w:themeColor="text1"/>
                <w:kern w:val="24"/>
                <w:lang w:val="en-US" w:eastAsia="de-DE"/>
              </w:rPr>
              <w:t>mprove the competitiveness of low</w:t>
            </w:r>
            <w:r>
              <w:rPr>
                <w:rFonts w:ascii="Times New Roman" w:eastAsia="Calibri" w:hAnsi="Times New Roman" w:cs="Times New Roman"/>
                <w:color w:val="000000" w:themeColor="text1"/>
                <w:kern w:val="24"/>
                <w:lang w:val="en-US" w:eastAsia="de-DE"/>
              </w:rPr>
              <w:t>-</w:t>
            </w:r>
            <w:r w:rsidRPr="0087176D">
              <w:rPr>
                <w:rFonts w:ascii="Times New Roman" w:eastAsia="Calibri" w:hAnsi="Times New Roman" w:cs="Times New Roman"/>
                <w:color w:val="000000" w:themeColor="text1"/>
                <w:kern w:val="24"/>
                <w:lang w:val="en-US" w:eastAsia="de-DE"/>
              </w:rPr>
              <w:t xml:space="preserve">emission vehicles, hybrid and electric vehicles </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65FAA19E" w14:textId="77777777" w:rsidR="001A6384" w:rsidRPr="0087176D" w:rsidRDefault="001A6384" w:rsidP="00864C37">
            <w:pPr>
              <w:spacing w:after="0" w:line="256" w:lineRule="auto"/>
              <w:jc w:val="right"/>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1</w:t>
            </w:r>
            <w:r>
              <w:rPr>
                <w:rFonts w:ascii="Times New Roman" w:eastAsia="Calibri" w:hAnsi="Times New Roman" w:cs="Times New Roman"/>
                <w:color w:val="000000" w:themeColor="text1"/>
                <w:kern w:val="24"/>
                <w:lang w:val="en-US" w:eastAsia="de-DE"/>
              </w:rPr>
              <w:t>26</w:t>
            </w:r>
            <w:r w:rsidRPr="0087176D">
              <w:rPr>
                <w:rFonts w:ascii="Times New Roman" w:eastAsia="Calibri" w:hAnsi="Times New Roman" w:cs="Times New Roman"/>
                <w:color w:val="000000" w:themeColor="text1"/>
                <w:kern w:val="24"/>
                <w:lang w:val="en-US" w:eastAsia="de-DE"/>
              </w:rPr>
              <w:t>5</w:t>
            </w:r>
          </w:p>
        </w:tc>
      </w:tr>
      <w:tr w:rsidR="001A6384" w:rsidRPr="0087176D" w14:paraId="23374C93" w14:textId="77777777" w:rsidTr="00C32596">
        <w:trPr>
          <w:trHeight w:val="550"/>
        </w:trPr>
        <w:tc>
          <w:tcPr>
            <w:tcW w:w="1550" w:type="dxa"/>
            <w:vMerge/>
            <w:tcBorders>
              <w:left w:val="single" w:sz="8" w:space="0" w:color="000000"/>
              <w:right w:val="single" w:sz="8" w:space="0" w:color="000000"/>
            </w:tcBorders>
            <w:shd w:val="clear" w:color="auto" w:fill="auto"/>
            <w:tcMar>
              <w:top w:w="18" w:type="dxa"/>
              <w:left w:w="129" w:type="dxa"/>
              <w:bottom w:w="0" w:type="dxa"/>
              <w:right w:w="129" w:type="dxa"/>
            </w:tcMar>
            <w:hideMark/>
          </w:tcPr>
          <w:p w14:paraId="201566C9" w14:textId="7347FB96" w:rsidR="001A6384" w:rsidRPr="0087176D" w:rsidRDefault="001A6384" w:rsidP="00864C37">
            <w:pPr>
              <w:spacing w:after="0" w:line="256" w:lineRule="auto"/>
              <w:textAlignment w:val="top"/>
              <w:rPr>
                <w:rFonts w:ascii="Times New Roman" w:eastAsia="Times New Roman" w:hAnsi="Times New Roman" w:cs="Times New Roman"/>
                <w:lang w:eastAsia="de-DE"/>
              </w:rPr>
            </w:pPr>
          </w:p>
        </w:tc>
        <w:tc>
          <w:tcPr>
            <w:tcW w:w="6237"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70150223" w14:textId="77777777" w:rsidR="001A6384" w:rsidRPr="0087176D" w:rsidRDefault="001A6384" w:rsidP="00864C37">
            <w:pPr>
              <w:spacing w:after="0" w:line="256" w:lineRule="auto"/>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 xml:space="preserve">Car scrapping program </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70FFDFBD" w14:textId="77777777" w:rsidR="001A6384" w:rsidRPr="0087176D" w:rsidRDefault="001A6384" w:rsidP="00864C37">
            <w:pPr>
              <w:spacing w:after="0" w:line="256" w:lineRule="auto"/>
              <w:jc w:val="right"/>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 xml:space="preserve"> 940</w:t>
            </w:r>
          </w:p>
        </w:tc>
      </w:tr>
      <w:tr w:rsidR="001A6384" w:rsidRPr="0087176D" w14:paraId="53915192" w14:textId="77777777" w:rsidTr="00C32596">
        <w:trPr>
          <w:trHeight w:val="762"/>
        </w:trPr>
        <w:tc>
          <w:tcPr>
            <w:tcW w:w="1550" w:type="dxa"/>
            <w:vMerge/>
            <w:tcBorders>
              <w:left w:val="single" w:sz="8" w:space="0" w:color="000000"/>
              <w:right w:val="single" w:sz="8" w:space="0" w:color="000000"/>
            </w:tcBorders>
            <w:shd w:val="clear" w:color="auto" w:fill="auto"/>
            <w:tcMar>
              <w:top w:w="18" w:type="dxa"/>
              <w:left w:w="129" w:type="dxa"/>
              <w:bottom w:w="0" w:type="dxa"/>
              <w:right w:w="129" w:type="dxa"/>
            </w:tcMar>
            <w:hideMark/>
          </w:tcPr>
          <w:p w14:paraId="1B816112" w14:textId="2F6E8D99" w:rsidR="001A6384" w:rsidRPr="0087176D" w:rsidRDefault="001A6384" w:rsidP="00864C37">
            <w:pPr>
              <w:spacing w:after="0" w:line="256" w:lineRule="auto"/>
              <w:textAlignment w:val="top"/>
              <w:rPr>
                <w:rFonts w:ascii="Times New Roman" w:eastAsia="Times New Roman" w:hAnsi="Times New Roman" w:cs="Times New Roman"/>
                <w:lang w:eastAsia="de-DE"/>
              </w:rPr>
            </w:pPr>
          </w:p>
        </w:tc>
        <w:tc>
          <w:tcPr>
            <w:tcW w:w="6237"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4D75B5D2" w14:textId="77777777" w:rsidR="001A6384" w:rsidRPr="0087176D" w:rsidRDefault="001A6384" w:rsidP="00864C37">
            <w:pPr>
              <w:spacing w:after="0" w:line="256" w:lineRule="auto"/>
              <w:textAlignment w:val="top"/>
              <w:rPr>
                <w:rFonts w:ascii="Times New Roman" w:eastAsia="Times New Roman" w:hAnsi="Times New Roman" w:cs="Times New Roman"/>
                <w:lang w:val="en-GB" w:eastAsia="de-DE"/>
              </w:rPr>
            </w:pPr>
            <w:r w:rsidRPr="00A5149F">
              <w:rPr>
                <w:rFonts w:ascii="Times New Roman" w:eastAsia="Calibri" w:hAnsi="Times New Roman" w:cs="Times New Roman"/>
                <w:color w:val="000000" w:themeColor="text1"/>
                <w:kern w:val="24"/>
                <w:lang w:val="en-GB" w:eastAsia="de-DE"/>
              </w:rPr>
              <w:t>L</w:t>
            </w:r>
            <w:r w:rsidRPr="0087176D">
              <w:rPr>
                <w:rFonts w:ascii="Times New Roman" w:eastAsia="Calibri" w:hAnsi="Times New Roman" w:cs="Times New Roman"/>
                <w:color w:val="000000" w:themeColor="text1"/>
                <w:kern w:val="24"/>
                <w:lang w:val="en-US" w:eastAsia="de-DE"/>
              </w:rPr>
              <w:t>ending/leasing</w:t>
            </w:r>
            <w:r>
              <w:rPr>
                <w:rFonts w:ascii="Times New Roman" w:eastAsia="Calibri" w:hAnsi="Times New Roman" w:cs="Times New Roman"/>
                <w:color w:val="000000" w:themeColor="text1"/>
                <w:kern w:val="24"/>
                <w:lang w:val="en-US" w:eastAsia="de-DE"/>
              </w:rPr>
              <w:t xml:space="preserve"> for e</w:t>
            </w:r>
            <w:r w:rsidRPr="0087176D">
              <w:rPr>
                <w:rFonts w:ascii="Times New Roman" w:eastAsia="Calibri" w:hAnsi="Times New Roman" w:cs="Times New Roman"/>
                <w:color w:val="000000" w:themeColor="text1"/>
                <w:kern w:val="24"/>
                <w:lang w:val="en-US" w:eastAsia="de-DE"/>
              </w:rPr>
              <w:t xml:space="preserve">nergy efficiency and accessibility of the bus system </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37CD21AA" w14:textId="77777777" w:rsidR="001A6384" w:rsidRPr="0087176D" w:rsidRDefault="001A6384" w:rsidP="00864C37">
            <w:pPr>
              <w:spacing w:after="0" w:line="256" w:lineRule="auto"/>
              <w:jc w:val="right"/>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 xml:space="preserve"> 236</w:t>
            </w:r>
          </w:p>
        </w:tc>
      </w:tr>
      <w:tr w:rsidR="001A6384" w:rsidRPr="0087176D" w14:paraId="5F2F9A7A" w14:textId="77777777" w:rsidTr="00C32596">
        <w:trPr>
          <w:trHeight w:val="550"/>
        </w:trPr>
        <w:tc>
          <w:tcPr>
            <w:tcW w:w="1550" w:type="dxa"/>
            <w:vMerge/>
            <w:tcBorders>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08F32D94" w14:textId="12931ABA" w:rsidR="001A6384" w:rsidRPr="0087176D" w:rsidRDefault="001A6384" w:rsidP="00864C37">
            <w:pPr>
              <w:spacing w:after="0" w:line="256" w:lineRule="auto"/>
              <w:textAlignment w:val="top"/>
              <w:rPr>
                <w:rFonts w:ascii="Times New Roman" w:eastAsia="Times New Roman" w:hAnsi="Times New Roman" w:cs="Times New Roman"/>
                <w:lang w:eastAsia="de-DE"/>
              </w:rPr>
            </w:pPr>
          </w:p>
        </w:tc>
        <w:tc>
          <w:tcPr>
            <w:tcW w:w="6237"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74282A94" w14:textId="77777777" w:rsidR="001A6384" w:rsidRPr="0087176D" w:rsidRDefault="001A6384" w:rsidP="00864C37">
            <w:pPr>
              <w:spacing w:after="0" w:line="256" w:lineRule="auto"/>
              <w:textAlignment w:val="top"/>
              <w:rPr>
                <w:rFonts w:ascii="Times New Roman" w:eastAsia="Times New Roman" w:hAnsi="Times New Roman" w:cs="Times New Roman"/>
                <w:lang w:val="en-GB" w:eastAsia="de-DE"/>
              </w:rPr>
            </w:pPr>
            <w:r w:rsidRPr="00422FEF">
              <w:rPr>
                <w:rFonts w:ascii="Times New Roman" w:eastAsia="Calibri" w:hAnsi="Times New Roman" w:cs="Times New Roman"/>
                <w:color w:val="000000" w:themeColor="text1"/>
                <w:kern w:val="24"/>
                <w:lang w:val="en-GB" w:eastAsia="de-DE"/>
              </w:rPr>
              <w:t>Pu</w:t>
            </w:r>
            <w:r>
              <w:rPr>
                <w:rFonts w:ascii="Times New Roman" w:eastAsia="Calibri" w:hAnsi="Times New Roman" w:cs="Times New Roman"/>
                <w:color w:val="000000" w:themeColor="text1"/>
                <w:kern w:val="24"/>
                <w:lang w:val="en-GB" w:eastAsia="de-DE"/>
              </w:rPr>
              <w:t>blic investment</w:t>
            </w:r>
            <w:r w:rsidRPr="0087176D">
              <w:rPr>
                <w:rFonts w:ascii="Times New Roman" w:eastAsia="Calibri" w:hAnsi="Times New Roman" w:cs="Times New Roman"/>
                <w:color w:val="000000" w:themeColor="text1"/>
                <w:kern w:val="24"/>
                <w:lang w:val="en-US" w:eastAsia="de-DE"/>
              </w:rPr>
              <w:t xml:space="preserve"> to increase the transport of goods by rail, mainly </w:t>
            </w:r>
            <w:r>
              <w:rPr>
                <w:rFonts w:ascii="Times New Roman" w:eastAsia="Calibri" w:hAnsi="Times New Roman" w:cs="Times New Roman"/>
                <w:color w:val="000000" w:themeColor="text1"/>
                <w:kern w:val="24"/>
                <w:lang w:val="en-US" w:eastAsia="de-DE"/>
              </w:rPr>
              <w:t xml:space="preserve">in </w:t>
            </w:r>
            <w:r w:rsidRPr="0087176D">
              <w:rPr>
                <w:rFonts w:ascii="Times New Roman" w:eastAsia="Calibri" w:hAnsi="Times New Roman" w:cs="Times New Roman"/>
                <w:color w:val="000000" w:themeColor="text1"/>
                <w:kern w:val="24"/>
                <w:lang w:val="en-US" w:eastAsia="de-DE"/>
              </w:rPr>
              <w:t xml:space="preserve">infrastructure </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43F66939" w14:textId="77777777" w:rsidR="001A6384" w:rsidRPr="0087176D" w:rsidRDefault="001A6384" w:rsidP="00864C37">
            <w:pPr>
              <w:spacing w:after="0" w:line="256" w:lineRule="auto"/>
              <w:jc w:val="right"/>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7512</w:t>
            </w:r>
          </w:p>
        </w:tc>
      </w:tr>
      <w:tr w:rsidR="001A6384" w:rsidRPr="0087176D" w14:paraId="67F90F63" w14:textId="77777777" w:rsidTr="001A6384">
        <w:trPr>
          <w:trHeight w:val="631"/>
        </w:trPr>
        <w:tc>
          <w:tcPr>
            <w:tcW w:w="1550"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4046344E" w14:textId="77777777" w:rsidR="001A6384" w:rsidRPr="0087176D" w:rsidRDefault="001A6384" w:rsidP="00864C37">
            <w:pPr>
              <w:spacing w:after="0" w:line="256" w:lineRule="auto"/>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Various (tourism)</w:t>
            </w:r>
          </w:p>
        </w:tc>
        <w:tc>
          <w:tcPr>
            <w:tcW w:w="6237"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60516315" w14:textId="77777777" w:rsidR="001A6384" w:rsidRPr="0087176D" w:rsidRDefault="001A6384" w:rsidP="00864C37">
            <w:pPr>
              <w:spacing w:after="0" w:line="256" w:lineRule="auto"/>
              <w:textAlignment w:val="top"/>
              <w:rPr>
                <w:rFonts w:ascii="Times New Roman" w:eastAsia="Times New Roman" w:hAnsi="Times New Roman" w:cs="Times New Roman"/>
                <w:lang w:val="en-GB" w:eastAsia="de-DE"/>
              </w:rPr>
            </w:pPr>
            <w:r>
              <w:rPr>
                <w:rFonts w:ascii="Times New Roman" w:eastAsia="Calibri" w:hAnsi="Times New Roman" w:cs="Times New Roman"/>
                <w:color w:val="000000" w:themeColor="text1"/>
                <w:kern w:val="24"/>
                <w:lang w:val="en-US" w:eastAsia="de-DE"/>
              </w:rPr>
              <w:t>Loans to</w:t>
            </w:r>
            <w:r w:rsidRPr="0087176D">
              <w:rPr>
                <w:rFonts w:ascii="Times New Roman" w:eastAsia="Calibri" w:hAnsi="Times New Roman" w:cs="Times New Roman"/>
                <w:color w:val="000000" w:themeColor="text1"/>
                <w:kern w:val="24"/>
                <w:lang w:val="en-US" w:eastAsia="de-DE"/>
              </w:rPr>
              <w:t xml:space="preserve"> improve the energy efficiency of tourism facilities, </w:t>
            </w:r>
            <w:r>
              <w:rPr>
                <w:rFonts w:ascii="Times New Roman" w:eastAsia="Calibri" w:hAnsi="Times New Roman" w:cs="Times New Roman"/>
                <w:color w:val="000000" w:themeColor="text1"/>
                <w:kern w:val="24"/>
                <w:lang w:val="en-US" w:eastAsia="de-DE"/>
              </w:rPr>
              <w:t>including energy</w:t>
            </w:r>
            <w:r w:rsidRPr="0087176D">
              <w:rPr>
                <w:rFonts w:ascii="Times New Roman" w:eastAsia="Calibri" w:hAnsi="Times New Roman" w:cs="Times New Roman"/>
                <w:color w:val="000000" w:themeColor="text1"/>
                <w:kern w:val="24"/>
                <w:lang w:val="en-US" w:eastAsia="de-DE"/>
              </w:rPr>
              <w:t xml:space="preserve"> savings </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2D531929" w14:textId="77777777" w:rsidR="001A6384" w:rsidRPr="0087176D" w:rsidRDefault="001A6384" w:rsidP="00864C37">
            <w:pPr>
              <w:spacing w:after="0" w:line="256" w:lineRule="auto"/>
              <w:jc w:val="right"/>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1200</w:t>
            </w:r>
          </w:p>
        </w:tc>
      </w:tr>
      <w:tr w:rsidR="001A6384" w:rsidRPr="0087176D" w14:paraId="2EAD43C8" w14:textId="77777777" w:rsidTr="001A6384">
        <w:tc>
          <w:tcPr>
            <w:tcW w:w="1550"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58D02C78" w14:textId="77777777" w:rsidR="001A6384" w:rsidRPr="0087176D" w:rsidRDefault="001A6384" w:rsidP="00864C37">
            <w:pPr>
              <w:spacing w:after="0" w:line="256" w:lineRule="auto"/>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 xml:space="preserve">Various </w:t>
            </w:r>
          </w:p>
        </w:tc>
        <w:tc>
          <w:tcPr>
            <w:tcW w:w="6237"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4546D9D3" w14:textId="77777777" w:rsidR="001A6384" w:rsidRPr="0087176D" w:rsidRDefault="001A6384" w:rsidP="00864C37">
            <w:pPr>
              <w:spacing w:after="0" w:line="256" w:lineRule="auto"/>
              <w:textAlignment w:val="top"/>
              <w:rPr>
                <w:rFonts w:ascii="Times New Roman" w:eastAsia="Times New Roman" w:hAnsi="Times New Roman" w:cs="Times New Roman"/>
                <w:lang w:val="en-GB" w:eastAsia="de-DE"/>
              </w:rPr>
            </w:pPr>
            <w:r w:rsidRPr="0087176D">
              <w:rPr>
                <w:rFonts w:ascii="Times New Roman" w:eastAsia="Calibri" w:hAnsi="Times New Roman" w:cs="Times New Roman"/>
                <w:color w:val="000000" w:themeColor="text1"/>
                <w:kern w:val="24"/>
                <w:lang w:val="en-US" w:eastAsia="de-DE"/>
              </w:rPr>
              <w:t xml:space="preserve">Sustainable </w:t>
            </w:r>
            <w:r>
              <w:rPr>
                <w:rFonts w:ascii="Times New Roman" w:eastAsia="Calibri" w:hAnsi="Times New Roman" w:cs="Times New Roman"/>
                <w:color w:val="000000" w:themeColor="text1"/>
                <w:kern w:val="24"/>
                <w:lang w:val="en-US" w:eastAsia="de-DE"/>
              </w:rPr>
              <w:t>E</w:t>
            </w:r>
            <w:r w:rsidRPr="0087176D">
              <w:rPr>
                <w:rFonts w:ascii="Times New Roman" w:eastAsia="Calibri" w:hAnsi="Times New Roman" w:cs="Times New Roman"/>
                <w:color w:val="000000" w:themeColor="text1"/>
                <w:kern w:val="24"/>
                <w:lang w:val="en-US" w:eastAsia="de-DE"/>
              </w:rPr>
              <w:t xml:space="preserve">conomy </w:t>
            </w:r>
            <w:r>
              <w:rPr>
                <w:rFonts w:ascii="Times New Roman" w:eastAsia="Calibri" w:hAnsi="Times New Roman" w:cs="Times New Roman"/>
                <w:color w:val="000000" w:themeColor="text1"/>
                <w:kern w:val="24"/>
                <w:lang w:val="en-US" w:eastAsia="de-DE"/>
              </w:rPr>
              <w:t xml:space="preserve">Funds for </w:t>
            </w:r>
            <w:r w:rsidRPr="0087176D">
              <w:rPr>
                <w:rFonts w:ascii="Times New Roman" w:eastAsia="Calibri" w:hAnsi="Times New Roman" w:cs="Times New Roman"/>
                <w:color w:val="000000" w:themeColor="text1"/>
                <w:kern w:val="24"/>
                <w:lang w:val="en-US" w:eastAsia="de-DE"/>
              </w:rPr>
              <w:t xml:space="preserve">energy efficiency, infrastructure, housing, sustainable vehicles </w:t>
            </w:r>
          </w:p>
        </w:tc>
        <w:tc>
          <w:tcPr>
            <w:tcW w:w="1275" w:type="dxa"/>
            <w:tcBorders>
              <w:top w:val="single" w:sz="8" w:space="0" w:color="000000"/>
              <w:left w:val="single" w:sz="8" w:space="0" w:color="000000"/>
              <w:bottom w:val="single" w:sz="8" w:space="0" w:color="000000"/>
              <w:right w:val="single" w:sz="8" w:space="0" w:color="000000"/>
            </w:tcBorders>
            <w:shd w:val="clear" w:color="auto" w:fill="auto"/>
            <w:tcMar>
              <w:top w:w="18" w:type="dxa"/>
              <w:left w:w="129" w:type="dxa"/>
              <w:bottom w:w="0" w:type="dxa"/>
              <w:right w:w="129" w:type="dxa"/>
            </w:tcMar>
            <w:hideMark/>
          </w:tcPr>
          <w:p w14:paraId="4A1F5283" w14:textId="77777777" w:rsidR="001A6384" w:rsidRPr="0087176D" w:rsidRDefault="001A6384" w:rsidP="00864C37">
            <w:pPr>
              <w:spacing w:after="0" w:line="256" w:lineRule="auto"/>
              <w:jc w:val="right"/>
              <w:textAlignment w:val="top"/>
              <w:rPr>
                <w:rFonts w:ascii="Times New Roman" w:eastAsia="Times New Roman" w:hAnsi="Times New Roman" w:cs="Times New Roman"/>
                <w:lang w:eastAsia="de-DE"/>
              </w:rPr>
            </w:pPr>
            <w:r w:rsidRPr="0087176D">
              <w:rPr>
                <w:rFonts w:ascii="Times New Roman" w:eastAsia="Calibri" w:hAnsi="Times New Roman" w:cs="Times New Roman"/>
                <w:color w:val="000000" w:themeColor="text1"/>
                <w:kern w:val="24"/>
                <w:lang w:val="en-US" w:eastAsia="de-DE"/>
              </w:rPr>
              <w:t>10000</w:t>
            </w:r>
          </w:p>
        </w:tc>
      </w:tr>
    </w:tbl>
    <w:p w14:paraId="1436DD37" w14:textId="1200BEF2" w:rsidR="001A6384" w:rsidRDefault="001A6384">
      <w:pPr>
        <w:rPr>
          <w:rFonts w:ascii="Calibri" w:hAnsi="Calibri" w:cs="Calibri"/>
          <w:noProof/>
          <w:lang w:val="en-GB"/>
        </w:rPr>
      </w:pPr>
      <w:r w:rsidRPr="0028474D">
        <w:rPr>
          <w:rFonts w:ascii="Times New Roman" w:hAnsi="Times New Roman" w:cs="Times New Roman"/>
          <w:b/>
          <w:bCs/>
          <w:noProof/>
          <w:sz w:val="20"/>
          <w:szCs w:val="20"/>
          <w:lang w:val="en-GB"/>
        </w:rPr>
        <w:t xml:space="preserve">Table </w:t>
      </w:r>
      <w:r>
        <w:rPr>
          <w:rFonts w:ascii="Times New Roman" w:hAnsi="Times New Roman" w:cs="Times New Roman"/>
          <w:b/>
          <w:bCs/>
          <w:noProof/>
          <w:sz w:val="20"/>
          <w:szCs w:val="20"/>
          <w:lang w:val="en-GB"/>
        </w:rPr>
        <w:t>S</w:t>
      </w:r>
      <w:r w:rsidR="00526FD5">
        <w:rPr>
          <w:rFonts w:ascii="Times New Roman" w:hAnsi="Times New Roman" w:cs="Times New Roman"/>
          <w:b/>
          <w:bCs/>
          <w:noProof/>
          <w:sz w:val="20"/>
          <w:szCs w:val="20"/>
          <w:lang w:val="en-GB"/>
        </w:rPr>
        <w:t>M</w:t>
      </w:r>
      <w:r>
        <w:rPr>
          <w:rFonts w:ascii="Times New Roman" w:hAnsi="Times New Roman" w:cs="Times New Roman"/>
          <w:b/>
          <w:bCs/>
          <w:noProof/>
          <w:sz w:val="20"/>
          <w:szCs w:val="20"/>
          <w:lang w:val="en-GB"/>
        </w:rPr>
        <w:t>5</w:t>
      </w:r>
      <w:r w:rsidRPr="0028474D">
        <w:rPr>
          <w:rFonts w:ascii="Times New Roman" w:hAnsi="Times New Roman" w:cs="Times New Roman"/>
          <w:b/>
          <w:bCs/>
          <w:noProof/>
          <w:sz w:val="20"/>
          <w:szCs w:val="20"/>
          <w:lang w:val="en-GB"/>
        </w:rPr>
        <w:t xml:space="preserve">: Main green spending elements of the </w:t>
      </w:r>
      <w:r>
        <w:rPr>
          <w:rFonts w:ascii="Times New Roman" w:hAnsi="Times New Roman" w:cs="Times New Roman"/>
          <w:b/>
          <w:bCs/>
          <w:noProof/>
          <w:sz w:val="20"/>
          <w:szCs w:val="20"/>
          <w:lang w:val="en-GB"/>
        </w:rPr>
        <w:t>Spanish</w:t>
      </w:r>
      <w:r w:rsidRPr="0028474D">
        <w:rPr>
          <w:rFonts w:ascii="Times New Roman" w:hAnsi="Times New Roman" w:cs="Times New Roman"/>
          <w:b/>
          <w:bCs/>
          <w:noProof/>
          <w:sz w:val="20"/>
          <w:szCs w:val="20"/>
          <w:lang w:val="en-GB"/>
        </w:rPr>
        <w:t xml:space="preserve"> recovery package during the Global Financial Crisis</w:t>
      </w:r>
      <w:r>
        <w:rPr>
          <w:rFonts w:ascii="Calibri" w:hAnsi="Calibri" w:cs="Calibri"/>
          <w:noProof/>
          <w:lang w:val="en-GB"/>
        </w:rPr>
        <w:t xml:space="preserve">. </w:t>
      </w:r>
      <w:r w:rsidRPr="0028474D">
        <w:rPr>
          <w:rFonts w:ascii="Times New Roman" w:hAnsi="Times New Roman" w:cs="Times New Roman"/>
          <w:noProof/>
          <w:sz w:val="20"/>
          <w:szCs w:val="20"/>
          <w:lang w:val="en-GB"/>
        </w:rPr>
        <w:t xml:space="preserve">Source: </w:t>
      </w:r>
      <w:r w:rsidRPr="0028474D">
        <w:rPr>
          <w:rFonts w:ascii="Times New Roman" w:hAnsi="Times New Roman" w:cs="Times New Roman"/>
          <w:noProof/>
          <w:sz w:val="20"/>
          <w:szCs w:val="20"/>
          <w:lang w:val="en-GB"/>
        </w:rPr>
        <w:fldChar w:fldCharType="begin"/>
      </w:r>
      <w:r w:rsidRPr="0028474D">
        <w:rPr>
          <w:rFonts w:ascii="Times New Roman" w:hAnsi="Times New Roman" w:cs="Times New Roman"/>
          <w:noProof/>
          <w:sz w:val="20"/>
          <w:szCs w:val="20"/>
          <w:lang w:val="en-GB"/>
        </w:rPr>
        <w:instrText xml:space="preserve"> ADDIN EN.CITE &lt;EndNote&gt;&lt;Cite&gt;&lt;Author&gt;Pollitt&lt;/Author&gt;&lt;Year&gt;2011&lt;/Year&gt;&lt;RecNum&gt;243&lt;/RecNum&gt;&lt;DisplayText&gt;(Pollitt, 2011)&lt;/DisplayText&gt;&lt;record&gt;&lt;rec-number&gt;243&lt;/rec-number&gt;&lt;foreign-keys&gt;&lt;key app="EN" db-id="zap5wezzop9xpwe0awepz55lfafptea5pr2w" timestamp="1614423315"&gt;243&lt;/key&gt;&lt;/foreign-keys&gt;&lt;ref-type name="Journal Article"&gt;17&lt;/ref-type&gt;&lt;contributors&gt;&lt;authors&gt;&lt;author&gt;Pollitt, Hector&lt;/author&gt;&lt;/authors&gt;&lt;/contributors&gt;&lt;titles&gt;&lt;title&gt;Assessing the implementation and impact of green elements of Member States’ National Recovery Plans&lt;/title&gt;&lt;secondary-title&gt;Final Report for the European Commission (DG Environment).-UK Cambridge Econometrics&lt;/secondary-title&gt;&lt;/titles&gt;&lt;dates&gt;&lt;year&gt;2011&lt;/year&gt;&lt;/dates&gt;&lt;urls&gt;&lt;/urls&gt;&lt;/record&gt;&lt;/Cite&gt;&lt;/EndNote&gt;</w:instrText>
      </w:r>
      <w:r w:rsidRPr="0028474D">
        <w:rPr>
          <w:rFonts w:ascii="Times New Roman" w:hAnsi="Times New Roman" w:cs="Times New Roman"/>
          <w:noProof/>
          <w:sz w:val="20"/>
          <w:szCs w:val="20"/>
          <w:lang w:val="en-GB"/>
        </w:rPr>
        <w:fldChar w:fldCharType="separate"/>
      </w:r>
      <w:r w:rsidRPr="0028474D">
        <w:rPr>
          <w:rFonts w:ascii="Times New Roman" w:hAnsi="Times New Roman" w:cs="Times New Roman"/>
          <w:noProof/>
          <w:sz w:val="20"/>
          <w:szCs w:val="20"/>
          <w:lang w:val="en-GB"/>
        </w:rPr>
        <w:t>(Pollitt, 2011)</w:t>
      </w:r>
      <w:r w:rsidRPr="0028474D">
        <w:rPr>
          <w:rFonts w:ascii="Times New Roman" w:hAnsi="Times New Roman" w:cs="Times New Roman"/>
          <w:noProof/>
          <w:sz w:val="20"/>
          <w:szCs w:val="20"/>
          <w:lang w:val="en-GB"/>
        </w:rPr>
        <w:fldChar w:fldCharType="end"/>
      </w:r>
      <w:r w:rsidR="00AB33FF">
        <w:rPr>
          <w:rFonts w:ascii="Times New Roman" w:hAnsi="Times New Roman" w:cs="Times New Roman"/>
          <w:noProof/>
          <w:sz w:val="20"/>
          <w:szCs w:val="20"/>
          <w:lang w:val="en-GB"/>
        </w:rPr>
        <w:t>.</w:t>
      </w:r>
    </w:p>
    <w:p w14:paraId="49F40E60" w14:textId="77777777" w:rsidR="00BD0BCF" w:rsidRDefault="00BD0BCF">
      <w:pPr>
        <w:rPr>
          <w:rFonts w:ascii="Times New Roman" w:hAnsi="Times New Roman" w:cs="Times New Roman"/>
          <w:b/>
          <w:bCs/>
          <w:color w:val="44546A" w:themeColor="text2"/>
          <w:sz w:val="28"/>
          <w:szCs w:val="28"/>
          <w:lang w:val="en-GB"/>
        </w:rPr>
      </w:pPr>
      <w:r>
        <w:rPr>
          <w:rFonts w:ascii="Times New Roman" w:hAnsi="Times New Roman" w:cs="Times New Roman"/>
          <w:b/>
          <w:bCs/>
          <w:i/>
          <w:iCs/>
          <w:sz w:val="28"/>
          <w:szCs w:val="28"/>
          <w:lang w:val="en-GB"/>
        </w:rPr>
        <w:br w:type="page"/>
      </w:r>
    </w:p>
    <w:p w14:paraId="7B58DC27" w14:textId="01F5BE9C" w:rsidR="00AE5DDA" w:rsidRDefault="000C4F88" w:rsidP="00AE5DDA">
      <w:pPr>
        <w:pStyle w:val="Caption"/>
        <w:keepNext/>
        <w:rPr>
          <w:rFonts w:ascii="Times New Roman" w:hAnsi="Times New Roman" w:cs="Times New Roman"/>
          <w:b/>
          <w:bCs/>
          <w:i w:val="0"/>
          <w:iCs w:val="0"/>
          <w:sz w:val="28"/>
          <w:szCs w:val="28"/>
          <w:lang w:val="en-GB"/>
        </w:rPr>
      </w:pPr>
      <w:r>
        <w:rPr>
          <w:rFonts w:ascii="Times New Roman" w:hAnsi="Times New Roman" w:cs="Times New Roman"/>
          <w:b/>
          <w:bCs/>
          <w:i w:val="0"/>
          <w:iCs w:val="0"/>
          <w:sz w:val="28"/>
          <w:szCs w:val="28"/>
          <w:lang w:val="en-GB"/>
        </w:rPr>
        <w:lastRenderedPageBreak/>
        <w:t>Note</w:t>
      </w:r>
      <w:r w:rsidR="002959FA">
        <w:rPr>
          <w:rFonts w:ascii="Times New Roman" w:hAnsi="Times New Roman" w:cs="Times New Roman"/>
          <w:b/>
          <w:bCs/>
          <w:i w:val="0"/>
          <w:iCs w:val="0"/>
          <w:sz w:val="28"/>
          <w:szCs w:val="28"/>
          <w:lang w:val="en-GB"/>
        </w:rPr>
        <w:t xml:space="preserve"> </w:t>
      </w:r>
      <w:r w:rsidR="00AE5DDA">
        <w:rPr>
          <w:rFonts w:ascii="Times New Roman" w:hAnsi="Times New Roman" w:cs="Times New Roman"/>
          <w:b/>
          <w:bCs/>
          <w:i w:val="0"/>
          <w:iCs w:val="0"/>
          <w:sz w:val="28"/>
          <w:szCs w:val="28"/>
          <w:lang w:val="en-GB"/>
        </w:rPr>
        <w:t>5</w:t>
      </w:r>
      <w:r w:rsidR="00AE5DDA" w:rsidRPr="00FB58CB">
        <w:rPr>
          <w:rFonts w:ascii="Times New Roman" w:hAnsi="Times New Roman" w:cs="Times New Roman"/>
          <w:b/>
          <w:bCs/>
          <w:i w:val="0"/>
          <w:iCs w:val="0"/>
          <w:sz w:val="28"/>
          <w:szCs w:val="28"/>
          <w:lang w:val="en-GB"/>
        </w:rPr>
        <w:t xml:space="preserve">: </w:t>
      </w:r>
      <w:r w:rsidR="00CA6ACB" w:rsidRPr="00CA6ACB">
        <w:rPr>
          <w:rFonts w:ascii="Times New Roman" w:hAnsi="Times New Roman" w:cs="Times New Roman"/>
          <w:b/>
          <w:bCs/>
          <w:i w:val="0"/>
          <w:iCs w:val="0"/>
          <w:sz w:val="28"/>
          <w:szCs w:val="28"/>
          <w:lang w:val="en-GB"/>
        </w:rPr>
        <w:t>The first impacts of the energy crisis related to the war in Ukraine</w:t>
      </w:r>
      <w:r w:rsidR="00864CC8">
        <w:rPr>
          <w:rFonts w:ascii="Times New Roman" w:hAnsi="Times New Roman" w:cs="Times New Roman"/>
          <w:b/>
          <w:bCs/>
          <w:i w:val="0"/>
          <w:iCs w:val="0"/>
          <w:sz w:val="28"/>
          <w:szCs w:val="28"/>
          <w:lang w:val="en-GB"/>
        </w:rPr>
        <w:t xml:space="preserve">. </w:t>
      </w:r>
    </w:p>
    <w:p w14:paraId="67797964" w14:textId="6A7893D7" w:rsidR="003516CC" w:rsidRPr="00BE6115" w:rsidRDefault="00864CC8" w:rsidP="00864CC8">
      <w:pPr>
        <w:spacing w:line="360" w:lineRule="auto"/>
        <w:jc w:val="both"/>
        <w:rPr>
          <w:rFonts w:ascii="Times New Roman" w:hAnsi="Times New Roman" w:cs="Times New Roman"/>
          <w:lang w:val="en-GB"/>
        </w:rPr>
      </w:pPr>
      <w:r w:rsidRPr="00864CC8">
        <w:rPr>
          <w:rFonts w:ascii="Times New Roman" w:hAnsi="Times New Roman" w:cs="Times New Roman"/>
          <w:lang w:val="en-GB"/>
        </w:rPr>
        <w:t xml:space="preserve">Russia´s invasion of Ukraine in February 2022 triggered an energy crisis in Europe, particularly in countries highly dependent on imported fossil fuels from Russia, including Germany. As a response, several measures were taken at the national and European levels (particularly with the plan REPowerEU) aiming to: (i) diversify energy supply, (ii) accelerate the transition to renewable energy, (iii) reduce energy consumption. In March 2023, the EU agreed to increase its renewables capacity binding target for 2030 to 42.5%, aiming to reach 45%. The EU policies were translated and, in some cases, extended at the national level. Preliminary analysis shows that natural gas demand in the European Union fell in 2022 by 55 bcm, or 13%, its steepest drop in history, driven by several economic and policy-related factors </w:t>
      </w:r>
      <w:r w:rsidR="003516CC">
        <w:rPr>
          <w:rFonts w:ascii="Times New Roman" w:hAnsi="Times New Roman" w:cs="Times New Roman"/>
          <w:lang w:val="en-GB"/>
        </w:rPr>
        <w:fldChar w:fldCharType="begin"/>
      </w:r>
      <w:r w:rsidR="003516CC">
        <w:rPr>
          <w:rFonts w:ascii="Times New Roman" w:hAnsi="Times New Roman" w:cs="Times New Roman"/>
          <w:lang w:val="en-GB"/>
        </w:rPr>
        <w:instrText xml:space="preserve"> ADDIN EN.CITE &lt;EndNote&gt;&lt;Cite&gt;&lt;Author&gt;IEA&lt;/Author&gt;&lt;Year&gt;2023&lt;/Year&gt;&lt;RecNum&gt;1078&lt;/RecNum&gt;&lt;DisplayText&gt;(IEA, 2023)&lt;/DisplayText&gt;&lt;record&gt;&lt;rec-number&gt;1078&lt;/rec-number&gt;&lt;foreign-keys&gt;&lt;key app="EN" db-id="zap5wezzop9xpwe0awepz55lfafptea5pr2w" timestamp="1691336604"&gt;1078&lt;/key&gt;&lt;/foreign-keys&gt;&lt;ref-type name="Report"&gt;27&lt;/ref-type&gt;&lt;contributors&gt;&lt;authors&gt;&lt;author&gt;IEA,&lt;/author&gt;&lt;/authors&gt;&lt;/contributors&gt;&lt;titles&gt;&lt;title&gt;Europe’s energy crisis: What factors drove the record fall in natural gas demand in 2022?&lt;/title&gt;&lt;/titles&gt;&lt;dates&gt;&lt;year&gt;2023&lt;/year&gt;&lt;/dates&gt;&lt;urls&gt;&lt;related-urls&gt;&lt;url&gt; https://www.iea.org/commentaries/europe-s-energy-crisis-what-factors-drove-the-record-fall-in-natural-gas-demand-in-2022&lt;/url&gt;&lt;/related-urls&gt;&lt;/urls&gt;&lt;/record&gt;&lt;/Cite&gt;&lt;/EndNote&gt;</w:instrText>
      </w:r>
      <w:r w:rsidR="003516CC">
        <w:rPr>
          <w:rFonts w:ascii="Times New Roman" w:hAnsi="Times New Roman" w:cs="Times New Roman"/>
          <w:lang w:val="en-GB"/>
        </w:rPr>
        <w:fldChar w:fldCharType="separate"/>
      </w:r>
      <w:r w:rsidR="003516CC">
        <w:rPr>
          <w:rFonts w:ascii="Times New Roman" w:hAnsi="Times New Roman" w:cs="Times New Roman"/>
          <w:noProof/>
          <w:lang w:val="en-GB"/>
        </w:rPr>
        <w:t>(IEA, 2023)</w:t>
      </w:r>
      <w:r w:rsidR="003516CC">
        <w:rPr>
          <w:rFonts w:ascii="Times New Roman" w:hAnsi="Times New Roman" w:cs="Times New Roman"/>
          <w:lang w:val="en-GB"/>
        </w:rPr>
        <w:fldChar w:fldCharType="end"/>
      </w:r>
      <w:r w:rsidR="003516CC">
        <w:rPr>
          <w:rFonts w:ascii="Times New Roman" w:hAnsi="Times New Roman" w:cs="Times New Roman"/>
          <w:lang w:val="en-GB"/>
        </w:rPr>
        <w:t>.</w:t>
      </w:r>
    </w:p>
    <w:tbl>
      <w:tblPr>
        <w:tblW w:w="7527" w:type="dxa"/>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1033"/>
        <w:gridCol w:w="1082"/>
        <w:gridCol w:w="1167"/>
        <w:gridCol w:w="1045"/>
        <w:gridCol w:w="1580"/>
        <w:gridCol w:w="1620"/>
      </w:tblGrid>
      <w:tr w:rsidR="0027319E" w:rsidRPr="0027319E" w14:paraId="796ECDDC" w14:textId="77777777" w:rsidTr="0027319E">
        <w:trPr>
          <w:trHeight w:val="290"/>
        </w:trPr>
        <w:tc>
          <w:tcPr>
            <w:tcW w:w="1033" w:type="dxa"/>
            <w:tcBorders>
              <w:top w:val="single" w:sz="4" w:space="0" w:color="auto"/>
              <w:bottom w:val="single" w:sz="4" w:space="0" w:color="auto"/>
            </w:tcBorders>
            <w:shd w:val="clear" w:color="auto" w:fill="auto"/>
            <w:noWrap/>
            <w:vAlign w:val="bottom"/>
            <w:hideMark/>
          </w:tcPr>
          <w:p w14:paraId="0712C420" w14:textId="77777777" w:rsidR="0027319E" w:rsidRPr="0027319E" w:rsidRDefault="0027319E" w:rsidP="0027319E">
            <w:pPr>
              <w:spacing w:after="0" w:line="240" w:lineRule="auto"/>
              <w:rPr>
                <w:rFonts w:ascii="Times New Roman" w:eastAsia="Times New Roman" w:hAnsi="Times New Roman" w:cs="Times New Roman"/>
                <w:sz w:val="24"/>
                <w:szCs w:val="24"/>
                <w:lang w:val="en-GB" w:eastAsia="de-DE"/>
              </w:rPr>
            </w:pPr>
          </w:p>
        </w:tc>
        <w:tc>
          <w:tcPr>
            <w:tcW w:w="1082" w:type="dxa"/>
            <w:tcBorders>
              <w:top w:val="single" w:sz="4" w:space="0" w:color="auto"/>
              <w:bottom w:val="single" w:sz="4" w:space="0" w:color="auto"/>
            </w:tcBorders>
            <w:shd w:val="clear" w:color="auto" w:fill="auto"/>
            <w:noWrap/>
            <w:vAlign w:val="bottom"/>
            <w:hideMark/>
          </w:tcPr>
          <w:p w14:paraId="75FAB532" w14:textId="77777777" w:rsidR="0027319E" w:rsidRPr="0027319E" w:rsidRDefault="0027319E" w:rsidP="0027319E">
            <w:pPr>
              <w:spacing w:after="0" w:line="240" w:lineRule="auto"/>
              <w:jc w:val="center"/>
              <w:rPr>
                <w:rFonts w:ascii="Times New Roman" w:eastAsia="Times New Roman" w:hAnsi="Times New Roman" w:cs="Times New Roman"/>
                <w:b/>
                <w:bCs/>
                <w:color w:val="000000"/>
                <w:lang w:eastAsia="de-DE"/>
              </w:rPr>
            </w:pPr>
            <w:r w:rsidRPr="0027319E">
              <w:rPr>
                <w:rFonts w:ascii="Times New Roman" w:eastAsia="Times New Roman" w:hAnsi="Times New Roman" w:cs="Times New Roman"/>
                <w:b/>
                <w:bCs/>
                <w:color w:val="000000"/>
                <w:lang w:eastAsia="de-DE"/>
              </w:rPr>
              <w:t>Emissions</w:t>
            </w:r>
          </w:p>
        </w:tc>
        <w:tc>
          <w:tcPr>
            <w:tcW w:w="1167" w:type="dxa"/>
            <w:tcBorders>
              <w:top w:val="single" w:sz="4" w:space="0" w:color="auto"/>
              <w:bottom w:val="single" w:sz="4" w:space="0" w:color="auto"/>
            </w:tcBorders>
            <w:shd w:val="clear" w:color="auto" w:fill="auto"/>
            <w:noWrap/>
            <w:vAlign w:val="bottom"/>
            <w:hideMark/>
          </w:tcPr>
          <w:p w14:paraId="2E063A7F" w14:textId="77777777" w:rsidR="0027319E" w:rsidRPr="0027319E" w:rsidRDefault="0027319E" w:rsidP="0027319E">
            <w:pPr>
              <w:spacing w:after="0" w:line="240" w:lineRule="auto"/>
              <w:jc w:val="center"/>
              <w:rPr>
                <w:rFonts w:ascii="Times New Roman" w:eastAsia="Times New Roman" w:hAnsi="Times New Roman" w:cs="Times New Roman"/>
                <w:b/>
                <w:bCs/>
                <w:color w:val="000000"/>
                <w:lang w:eastAsia="de-DE"/>
              </w:rPr>
            </w:pPr>
            <w:r w:rsidRPr="0027319E">
              <w:rPr>
                <w:rFonts w:ascii="Times New Roman" w:eastAsia="Times New Roman" w:hAnsi="Times New Roman" w:cs="Times New Roman"/>
                <w:b/>
                <w:bCs/>
                <w:color w:val="000000"/>
                <w:lang w:eastAsia="de-DE"/>
              </w:rPr>
              <w:t>Population</w:t>
            </w:r>
          </w:p>
        </w:tc>
        <w:tc>
          <w:tcPr>
            <w:tcW w:w="1045" w:type="dxa"/>
            <w:tcBorders>
              <w:top w:val="single" w:sz="4" w:space="0" w:color="auto"/>
              <w:bottom w:val="single" w:sz="4" w:space="0" w:color="auto"/>
            </w:tcBorders>
            <w:shd w:val="clear" w:color="auto" w:fill="auto"/>
            <w:noWrap/>
            <w:vAlign w:val="bottom"/>
            <w:hideMark/>
          </w:tcPr>
          <w:p w14:paraId="3FFEF360" w14:textId="77777777" w:rsidR="0027319E" w:rsidRPr="0027319E" w:rsidRDefault="0027319E" w:rsidP="0027319E">
            <w:pPr>
              <w:spacing w:after="0" w:line="240" w:lineRule="auto"/>
              <w:jc w:val="center"/>
              <w:rPr>
                <w:rFonts w:ascii="Times New Roman" w:eastAsia="Times New Roman" w:hAnsi="Times New Roman" w:cs="Times New Roman"/>
                <w:b/>
                <w:bCs/>
                <w:color w:val="000000"/>
                <w:lang w:eastAsia="de-DE"/>
              </w:rPr>
            </w:pPr>
            <w:r w:rsidRPr="0027319E">
              <w:rPr>
                <w:rFonts w:ascii="Times New Roman" w:eastAsia="Times New Roman" w:hAnsi="Times New Roman" w:cs="Times New Roman"/>
                <w:b/>
                <w:bCs/>
                <w:color w:val="000000"/>
                <w:lang w:eastAsia="de-DE"/>
              </w:rPr>
              <w:t>Affluence</w:t>
            </w:r>
          </w:p>
        </w:tc>
        <w:tc>
          <w:tcPr>
            <w:tcW w:w="1580" w:type="dxa"/>
            <w:tcBorders>
              <w:top w:val="single" w:sz="4" w:space="0" w:color="auto"/>
              <w:bottom w:val="single" w:sz="4" w:space="0" w:color="auto"/>
            </w:tcBorders>
            <w:shd w:val="clear" w:color="auto" w:fill="auto"/>
            <w:noWrap/>
            <w:vAlign w:val="bottom"/>
            <w:hideMark/>
          </w:tcPr>
          <w:p w14:paraId="32CB9087" w14:textId="77777777" w:rsidR="0027319E" w:rsidRPr="0027319E" w:rsidRDefault="0027319E" w:rsidP="0027319E">
            <w:pPr>
              <w:spacing w:after="0" w:line="240" w:lineRule="auto"/>
              <w:jc w:val="center"/>
              <w:rPr>
                <w:rFonts w:ascii="Times New Roman" w:eastAsia="Times New Roman" w:hAnsi="Times New Roman" w:cs="Times New Roman"/>
                <w:b/>
                <w:bCs/>
                <w:color w:val="000000"/>
                <w:lang w:eastAsia="de-DE"/>
              </w:rPr>
            </w:pPr>
            <w:r w:rsidRPr="0027319E">
              <w:rPr>
                <w:rFonts w:ascii="Times New Roman" w:eastAsia="Times New Roman" w:hAnsi="Times New Roman" w:cs="Times New Roman"/>
                <w:b/>
                <w:bCs/>
                <w:color w:val="000000"/>
                <w:lang w:eastAsia="de-DE"/>
              </w:rPr>
              <w:t>Energy intencity</w:t>
            </w:r>
          </w:p>
        </w:tc>
        <w:tc>
          <w:tcPr>
            <w:tcW w:w="1620" w:type="dxa"/>
            <w:tcBorders>
              <w:top w:val="single" w:sz="4" w:space="0" w:color="auto"/>
              <w:bottom w:val="single" w:sz="4" w:space="0" w:color="auto"/>
            </w:tcBorders>
            <w:shd w:val="clear" w:color="auto" w:fill="auto"/>
            <w:noWrap/>
            <w:vAlign w:val="bottom"/>
            <w:hideMark/>
          </w:tcPr>
          <w:p w14:paraId="46745F0A" w14:textId="77777777" w:rsidR="0027319E" w:rsidRPr="0027319E" w:rsidRDefault="0027319E" w:rsidP="0027319E">
            <w:pPr>
              <w:spacing w:after="0" w:line="240" w:lineRule="auto"/>
              <w:jc w:val="center"/>
              <w:rPr>
                <w:rFonts w:ascii="Times New Roman" w:eastAsia="Times New Roman" w:hAnsi="Times New Roman" w:cs="Times New Roman"/>
                <w:b/>
                <w:bCs/>
                <w:color w:val="000000"/>
                <w:lang w:eastAsia="de-DE"/>
              </w:rPr>
            </w:pPr>
            <w:r w:rsidRPr="0027319E">
              <w:rPr>
                <w:rFonts w:ascii="Times New Roman" w:eastAsia="Times New Roman" w:hAnsi="Times New Roman" w:cs="Times New Roman"/>
                <w:b/>
                <w:bCs/>
                <w:color w:val="000000"/>
                <w:lang w:eastAsia="de-DE"/>
              </w:rPr>
              <w:t>Carbon intencity</w:t>
            </w:r>
          </w:p>
        </w:tc>
      </w:tr>
      <w:tr w:rsidR="0027319E" w:rsidRPr="0027319E" w14:paraId="3F07253C" w14:textId="77777777" w:rsidTr="0027319E">
        <w:trPr>
          <w:trHeight w:val="290"/>
        </w:trPr>
        <w:tc>
          <w:tcPr>
            <w:tcW w:w="1033" w:type="dxa"/>
            <w:tcBorders>
              <w:top w:val="single" w:sz="4" w:space="0" w:color="auto"/>
            </w:tcBorders>
            <w:shd w:val="clear" w:color="auto" w:fill="auto"/>
            <w:noWrap/>
            <w:vAlign w:val="bottom"/>
            <w:hideMark/>
          </w:tcPr>
          <w:p w14:paraId="2ADC58D9" w14:textId="77777777" w:rsidR="0027319E" w:rsidRPr="0027319E" w:rsidRDefault="0027319E" w:rsidP="0027319E">
            <w:pPr>
              <w:spacing w:after="0" w:line="240" w:lineRule="auto"/>
              <w:jc w:val="center"/>
              <w:rPr>
                <w:rFonts w:ascii="Times New Roman" w:eastAsia="Times New Roman" w:hAnsi="Times New Roman" w:cs="Times New Roman"/>
                <w:b/>
                <w:bCs/>
                <w:color w:val="000000"/>
                <w:lang w:eastAsia="de-DE"/>
              </w:rPr>
            </w:pPr>
            <w:r w:rsidRPr="0027319E">
              <w:rPr>
                <w:rFonts w:ascii="Times New Roman" w:eastAsia="Times New Roman" w:hAnsi="Times New Roman" w:cs="Times New Roman"/>
                <w:b/>
                <w:bCs/>
                <w:color w:val="000000"/>
                <w:lang w:eastAsia="de-DE"/>
              </w:rPr>
              <w:t>Germany</w:t>
            </w:r>
          </w:p>
        </w:tc>
        <w:tc>
          <w:tcPr>
            <w:tcW w:w="1082" w:type="dxa"/>
            <w:tcBorders>
              <w:top w:val="single" w:sz="4" w:space="0" w:color="auto"/>
            </w:tcBorders>
            <w:shd w:val="clear" w:color="auto" w:fill="auto"/>
            <w:noWrap/>
            <w:vAlign w:val="bottom"/>
            <w:hideMark/>
          </w:tcPr>
          <w:p w14:paraId="62495446" w14:textId="77777777" w:rsidR="0027319E" w:rsidRPr="0027319E" w:rsidRDefault="0027319E" w:rsidP="0027319E">
            <w:pPr>
              <w:spacing w:after="0" w:line="240" w:lineRule="auto"/>
              <w:jc w:val="center"/>
              <w:rPr>
                <w:rFonts w:ascii="Times New Roman" w:eastAsia="Times New Roman" w:hAnsi="Times New Roman" w:cs="Times New Roman"/>
                <w:color w:val="000000"/>
                <w:lang w:eastAsia="de-DE"/>
              </w:rPr>
            </w:pPr>
            <w:r w:rsidRPr="0027319E">
              <w:rPr>
                <w:rFonts w:ascii="Times New Roman" w:eastAsia="Times New Roman" w:hAnsi="Times New Roman" w:cs="Times New Roman"/>
                <w:color w:val="000000"/>
                <w:lang w:eastAsia="de-DE"/>
              </w:rPr>
              <w:t>-1.23%</w:t>
            </w:r>
          </w:p>
        </w:tc>
        <w:tc>
          <w:tcPr>
            <w:tcW w:w="1167" w:type="dxa"/>
            <w:tcBorders>
              <w:top w:val="single" w:sz="4" w:space="0" w:color="auto"/>
            </w:tcBorders>
            <w:shd w:val="clear" w:color="auto" w:fill="auto"/>
            <w:noWrap/>
            <w:vAlign w:val="bottom"/>
            <w:hideMark/>
          </w:tcPr>
          <w:p w14:paraId="3232DA4C" w14:textId="77777777" w:rsidR="0027319E" w:rsidRPr="0027319E" w:rsidRDefault="0027319E" w:rsidP="0027319E">
            <w:pPr>
              <w:spacing w:after="0" w:line="240" w:lineRule="auto"/>
              <w:jc w:val="center"/>
              <w:rPr>
                <w:rFonts w:ascii="Times New Roman" w:eastAsia="Times New Roman" w:hAnsi="Times New Roman" w:cs="Times New Roman"/>
                <w:color w:val="000000"/>
                <w:lang w:eastAsia="de-DE"/>
              </w:rPr>
            </w:pPr>
            <w:r w:rsidRPr="0027319E">
              <w:rPr>
                <w:rFonts w:ascii="Times New Roman" w:eastAsia="Times New Roman" w:hAnsi="Times New Roman" w:cs="Times New Roman"/>
                <w:color w:val="000000"/>
                <w:lang w:eastAsia="de-DE"/>
              </w:rPr>
              <w:t>0.10%</w:t>
            </w:r>
          </w:p>
        </w:tc>
        <w:tc>
          <w:tcPr>
            <w:tcW w:w="1045" w:type="dxa"/>
            <w:tcBorders>
              <w:top w:val="single" w:sz="4" w:space="0" w:color="auto"/>
            </w:tcBorders>
            <w:shd w:val="clear" w:color="auto" w:fill="auto"/>
            <w:noWrap/>
            <w:vAlign w:val="bottom"/>
            <w:hideMark/>
          </w:tcPr>
          <w:p w14:paraId="63ED596B" w14:textId="77777777" w:rsidR="0027319E" w:rsidRPr="0027319E" w:rsidRDefault="0027319E" w:rsidP="0027319E">
            <w:pPr>
              <w:spacing w:after="0" w:line="240" w:lineRule="auto"/>
              <w:jc w:val="center"/>
              <w:rPr>
                <w:rFonts w:ascii="Times New Roman" w:eastAsia="Times New Roman" w:hAnsi="Times New Roman" w:cs="Times New Roman"/>
                <w:color w:val="000000"/>
                <w:lang w:eastAsia="de-DE"/>
              </w:rPr>
            </w:pPr>
            <w:r w:rsidRPr="0027319E">
              <w:rPr>
                <w:rFonts w:ascii="Times New Roman" w:eastAsia="Times New Roman" w:hAnsi="Times New Roman" w:cs="Times New Roman"/>
                <w:color w:val="000000"/>
                <w:lang w:eastAsia="de-DE"/>
              </w:rPr>
              <w:t>1.71%</w:t>
            </w:r>
          </w:p>
        </w:tc>
        <w:tc>
          <w:tcPr>
            <w:tcW w:w="1580" w:type="dxa"/>
            <w:tcBorders>
              <w:top w:val="single" w:sz="4" w:space="0" w:color="auto"/>
            </w:tcBorders>
            <w:shd w:val="clear" w:color="auto" w:fill="auto"/>
            <w:noWrap/>
            <w:vAlign w:val="bottom"/>
            <w:hideMark/>
          </w:tcPr>
          <w:p w14:paraId="238C4679" w14:textId="77777777" w:rsidR="0027319E" w:rsidRPr="0027319E" w:rsidRDefault="0027319E" w:rsidP="0027319E">
            <w:pPr>
              <w:spacing w:after="0" w:line="240" w:lineRule="auto"/>
              <w:jc w:val="center"/>
              <w:rPr>
                <w:rFonts w:ascii="Times New Roman" w:eastAsia="Times New Roman" w:hAnsi="Times New Roman" w:cs="Times New Roman"/>
                <w:color w:val="000000"/>
                <w:lang w:eastAsia="de-DE"/>
              </w:rPr>
            </w:pPr>
            <w:r w:rsidRPr="0027319E">
              <w:rPr>
                <w:rFonts w:ascii="Times New Roman" w:eastAsia="Times New Roman" w:hAnsi="Times New Roman" w:cs="Times New Roman"/>
                <w:color w:val="000000"/>
                <w:lang w:eastAsia="de-DE"/>
              </w:rPr>
              <w:t>-5.47%</w:t>
            </w:r>
          </w:p>
        </w:tc>
        <w:tc>
          <w:tcPr>
            <w:tcW w:w="1620" w:type="dxa"/>
            <w:tcBorders>
              <w:top w:val="single" w:sz="4" w:space="0" w:color="auto"/>
            </w:tcBorders>
            <w:shd w:val="clear" w:color="auto" w:fill="auto"/>
            <w:noWrap/>
            <w:vAlign w:val="bottom"/>
            <w:hideMark/>
          </w:tcPr>
          <w:p w14:paraId="57785950" w14:textId="77777777" w:rsidR="0027319E" w:rsidRPr="0027319E" w:rsidRDefault="0027319E" w:rsidP="0027319E">
            <w:pPr>
              <w:spacing w:after="0" w:line="240" w:lineRule="auto"/>
              <w:jc w:val="center"/>
              <w:rPr>
                <w:rFonts w:ascii="Times New Roman" w:eastAsia="Times New Roman" w:hAnsi="Times New Roman" w:cs="Times New Roman"/>
                <w:color w:val="000000"/>
                <w:lang w:eastAsia="de-DE"/>
              </w:rPr>
            </w:pPr>
            <w:r w:rsidRPr="0027319E">
              <w:rPr>
                <w:rFonts w:ascii="Times New Roman" w:eastAsia="Times New Roman" w:hAnsi="Times New Roman" w:cs="Times New Roman"/>
                <w:color w:val="000000"/>
                <w:lang w:eastAsia="de-DE"/>
              </w:rPr>
              <w:t>2.63%</w:t>
            </w:r>
          </w:p>
        </w:tc>
      </w:tr>
      <w:tr w:rsidR="0027319E" w:rsidRPr="0027319E" w14:paraId="161FF234" w14:textId="77777777" w:rsidTr="0027319E">
        <w:trPr>
          <w:trHeight w:val="290"/>
        </w:trPr>
        <w:tc>
          <w:tcPr>
            <w:tcW w:w="1033" w:type="dxa"/>
            <w:shd w:val="clear" w:color="auto" w:fill="auto"/>
            <w:noWrap/>
            <w:vAlign w:val="bottom"/>
            <w:hideMark/>
          </w:tcPr>
          <w:p w14:paraId="102C3A1A" w14:textId="77777777" w:rsidR="0027319E" w:rsidRPr="0027319E" w:rsidRDefault="0027319E" w:rsidP="0027319E">
            <w:pPr>
              <w:spacing w:after="0" w:line="240" w:lineRule="auto"/>
              <w:jc w:val="center"/>
              <w:rPr>
                <w:rFonts w:ascii="Times New Roman" w:eastAsia="Times New Roman" w:hAnsi="Times New Roman" w:cs="Times New Roman"/>
                <w:b/>
                <w:bCs/>
                <w:color w:val="000000"/>
                <w:lang w:eastAsia="de-DE"/>
              </w:rPr>
            </w:pPr>
            <w:r w:rsidRPr="0027319E">
              <w:rPr>
                <w:rFonts w:ascii="Times New Roman" w:eastAsia="Times New Roman" w:hAnsi="Times New Roman" w:cs="Times New Roman"/>
                <w:b/>
                <w:bCs/>
                <w:color w:val="000000"/>
                <w:lang w:eastAsia="de-DE"/>
              </w:rPr>
              <w:t>Spain</w:t>
            </w:r>
          </w:p>
        </w:tc>
        <w:tc>
          <w:tcPr>
            <w:tcW w:w="1082" w:type="dxa"/>
            <w:shd w:val="clear" w:color="auto" w:fill="auto"/>
            <w:noWrap/>
            <w:vAlign w:val="bottom"/>
            <w:hideMark/>
          </w:tcPr>
          <w:p w14:paraId="0BBDBFFB" w14:textId="77777777" w:rsidR="0027319E" w:rsidRPr="0027319E" w:rsidRDefault="0027319E" w:rsidP="0027319E">
            <w:pPr>
              <w:spacing w:after="0" w:line="240" w:lineRule="auto"/>
              <w:jc w:val="center"/>
              <w:rPr>
                <w:rFonts w:ascii="Times New Roman" w:eastAsia="Times New Roman" w:hAnsi="Times New Roman" w:cs="Times New Roman"/>
                <w:color w:val="000000"/>
                <w:lang w:eastAsia="de-DE"/>
              </w:rPr>
            </w:pPr>
            <w:r w:rsidRPr="0027319E">
              <w:rPr>
                <w:rFonts w:ascii="Times New Roman" w:eastAsia="Times New Roman" w:hAnsi="Times New Roman" w:cs="Times New Roman"/>
                <w:color w:val="000000"/>
                <w:lang w:eastAsia="de-DE"/>
              </w:rPr>
              <w:t>7.10%</w:t>
            </w:r>
          </w:p>
        </w:tc>
        <w:tc>
          <w:tcPr>
            <w:tcW w:w="1167" w:type="dxa"/>
            <w:shd w:val="clear" w:color="auto" w:fill="auto"/>
            <w:noWrap/>
            <w:vAlign w:val="bottom"/>
            <w:hideMark/>
          </w:tcPr>
          <w:p w14:paraId="097AAD12" w14:textId="77777777" w:rsidR="0027319E" w:rsidRPr="0027319E" w:rsidRDefault="0027319E" w:rsidP="0027319E">
            <w:pPr>
              <w:spacing w:after="0" w:line="240" w:lineRule="auto"/>
              <w:jc w:val="center"/>
              <w:rPr>
                <w:rFonts w:ascii="Times New Roman" w:eastAsia="Times New Roman" w:hAnsi="Times New Roman" w:cs="Times New Roman"/>
                <w:color w:val="000000"/>
                <w:lang w:eastAsia="de-DE"/>
              </w:rPr>
            </w:pPr>
            <w:r w:rsidRPr="0027319E">
              <w:rPr>
                <w:rFonts w:ascii="Times New Roman" w:eastAsia="Times New Roman" w:hAnsi="Times New Roman" w:cs="Times New Roman"/>
                <w:color w:val="000000"/>
                <w:lang w:eastAsia="de-DE"/>
              </w:rPr>
              <w:t>0.07%</w:t>
            </w:r>
          </w:p>
        </w:tc>
        <w:tc>
          <w:tcPr>
            <w:tcW w:w="1045" w:type="dxa"/>
            <w:shd w:val="clear" w:color="auto" w:fill="auto"/>
            <w:noWrap/>
            <w:vAlign w:val="bottom"/>
            <w:hideMark/>
          </w:tcPr>
          <w:p w14:paraId="424E3772" w14:textId="77777777" w:rsidR="0027319E" w:rsidRPr="0027319E" w:rsidRDefault="0027319E" w:rsidP="0027319E">
            <w:pPr>
              <w:spacing w:after="0" w:line="240" w:lineRule="auto"/>
              <w:jc w:val="center"/>
              <w:rPr>
                <w:rFonts w:ascii="Times New Roman" w:eastAsia="Times New Roman" w:hAnsi="Times New Roman" w:cs="Times New Roman"/>
                <w:color w:val="000000"/>
                <w:lang w:eastAsia="de-DE"/>
              </w:rPr>
            </w:pPr>
            <w:r w:rsidRPr="0027319E">
              <w:rPr>
                <w:rFonts w:ascii="Times New Roman" w:eastAsia="Times New Roman" w:hAnsi="Times New Roman" w:cs="Times New Roman"/>
                <w:color w:val="000000"/>
                <w:lang w:eastAsia="de-DE"/>
              </w:rPr>
              <w:t>5.38%</w:t>
            </w:r>
          </w:p>
        </w:tc>
        <w:tc>
          <w:tcPr>
            <w:tcW w:w="1580" w:type="dxa"/>
            <w:shd w:val="clear" w:color="auto" w:fill="auto"/>
            <w:noWrap/>
            <w:vAlign w:val="bottom"/>
            <w:hideMark/>
          </w:tcPr>
          <w:p w14:paraId="4DB1FB30" w14:textId="77777777" w:rsidR="0027319E" w:rsidRPr="0027319E" w:rsidRDefault="0027319E" w:rsidP="0027319E">
            <w:pPr>
              <w:spacing w:after="0" w:line="240" w:lineRule="auto"/>
              <w:jc w:val="center"/>
              <w:rPr>
                <w:rFonts w:ascii="Times New Roman" w:eastAsia="Times New Roman" w:hAnsi="Times New Roman" w:cs="Times New Roman"/>
                <w:color w:val="000000"/>
                <w:lang w:eastAsia="de-DE"/>
              </w:rPr>
            </w:pPr>
            <w:r w:rsidRPr="0027319E">
              <w:rPr>
                <w:rFonts w:ascii="Times New Roman" w:eastAsia="Times New Roman" w:hAnsi="Times New Roman" w:cs="Times New Roman"/>
                <w:color w:val="000000"/>
                <w:lang w:eastAsia="de-DE"/>
              </w:rPr>
              <w:t>-1.58%</w:t>
            </w:r>
          </w:p>
        </w:tc>
        <w:tc>
          <w:tcPr>
            <w:tcW w:w="1620" w:type="dxa"/>
            <w:shd w:val="clear" w:color="auto" w:fill="auto"/>
            <w:noWrap/>
            <w:vAlign w:val="bottom"/>
            <w:hideMark/>
          </w:tcPr>
          <w:p w14:paraId="3FFE340F" w14:textId="77777777" w:rsidR="0027319E" w:rsidRPr="0027319E" w:rsidRDefault="0027319E" w:rsidP="0027319E">
            <w:pPr>
              <w:spacing w:after="0" w:line="240" w:lineRule="auto"/>
              <w:jc w:val="center"/>
              <w:rPr>
                <w:rFonts w:ascii="Times New Roman" w:eastAsia="Times New Roman" w:hAnsi="Times New Roman" w:cs="Times New Roman"/>
                <w:color w:val="000000"/>
                <w:lang w:eastAsia="de-DE"/>
              </w:rPr>
            </w:pPr>
            <w:r w:rsidRPr="0027319E">
              <w:rPr>
                <w:rFonts w:ascii="Times New Roman" w:eastAsia="Times New Roman" w:hAnsi="Times New Roman" w:cs="Times New Roman"/>
                <w:color w:val="000000"/>
                <w:lang w:eastAsia="de-DE"/>
              </w:rPr>
              <w:t>3.20%</w:t>
            </w:r>
          </w:p>
        </w:tc>
      </w:tr>
    </w:tbl>
    <w:p w14:paraId="17F3D8A5" w14:textId="41A9F9B8" w:rsidR="0028474D" w:rsidRDefault="0027319E">
      <w:pPr>
        <w:rPr>
          <w:rFonts w:ascii="Times New Roman" w:hAnsi="Times New Roman" w:cs="Times New Roman"/>
          <w:b/>
          <w:bCs/>
          <w:color w:val="44546A" w:themeColor="text2"/>
          <w:sz w:val="28"/>
          <w:szCs w:val="28"/>
          <w:lang w:val="en-GB"/>
        </w:rPr>
      </w:pPr>
      <w:r w:rsidRPr="0028474D">
        <w:rPr>
          <w:rFonts w:ascii="Times New Roman" w:hAnsi="Times New Roman" w:cs="Times New Roman"/>
          <w:b/>
          <w:bCs/>
          <w:noProof/>
          <w:sz w:val="20"/>
          <w:szCs w:val="20"/>
          <w:lang w:val="en-GB"/>
        </w:rPr>
        <w:t xml:space="preserve">Table </w:t>
      </w:r>
      <w:r>
        <w:rPr>
          <w:rFonts w:ascii="Times New Roman" w:hAnsi="Times New Roman" w:cs="Times New Roman"/>
          <w:b/>
          <w:bCs/>
          <w:noProof/>
          <w:sz w:val="20"/>
          <w:szCs w:val="20"/>
          <w:lang w:val="en-GB"/>
        </w:rPr>
        <w:t>S</w:t>
      </w:r>
      <w:r w:rsidR="00526FD5">
        <w:rPr>
          <w:rFonts w:ascii="Times New Roman" w:hAnsi="Times New Roman" w:cs="Times New Roman"/>
          <w:b/>
          <w:bCs/>
          <w:noProof/>
          <w:sz w:val="20"/>
          <w:szCs w:val="20"/>
          <w:lang w:val="en-GB"/>
        </w:rPr>
        <w:t>M</w:t>
      </w:r>
      <w:r>
        <w:rPr>
          <w:rFonts w:ascii="Times New Roman" w:hAnsi="Times New Roman" w:cs="Times New Roman"/>
          <w:b/>
          <w:bCs/>
          <w:noProof/>
          <w:sz w:val="20"/>
          <w:szCs w:val="20"/>
          <w:lang w:val="en-GB"/>
        </w:rPr>
        <w:t>6</w:t>
      </w:r>
      <w:r w:rsidRPr="0028474D">
        <w:rPr>
          <w:rFonts w:ascii="Times New Roman" w:hAnsi="Times New Roman" w:cs="Times New Roman"/>
          <w:b/>
          <w:bCs/>
          <w:noProof/>
          <w:sz w:val="20"/>
          <w:szCs w:val="20"/>
          <w:lang w:val="en-GB"/>
        </w:rPr>
        <w:t xml:space="preserve">: </w:t>
      </w:r>
      <w:r>
        <w:rPr>
          <w:rFonts w:ascii="Times New Roman" w:hAnsi="Times New Roman" w:cs="Times New Roman"/>
          <w:b/>
          <w:bCs/>
          <w:noProof/>
          <w:sz w:val="20"/>
          <w:szCs w:val="20"/>
          <w:lang w:val="en-GB"/>
        </w:rPr>
        <w:t>Decomposition of CO</w:t>
      </w:r>
      <w:r w:rsidRPr="0027319E">
        <w:rPr>
          <w:rFonts w:ascii="Times New Roman" w:hAnsi="Times New Roman" w:cs="Times New Roman"/>
          <w:b/>
          <w:bCs/>
          <w:noProof/>
          <w:sz w:val="20"/>
          <w:szCs w:val="20"/>
          <w:vertAlign w:val="subscript"/>
          <w:lang w:val="en-GB"/>
        </w:rPr>
        <w:t>2</w:t>
      </w:r>
      <w:r>
        <w:rPr>
          <w:rFonts w:ascii="Times New Roman" w:hAnsi="Times New Roman" w:cs="Times New Roman"/>
          <w:b/>
          <w:bCs/>
          <w:noProof/>
          <w:sz w:val="20"/>
          <w:szCs w:val="20"/>
          <w:lang w:val="en-GB"/>
        </w:rPr>
        <w:t xml:space="preserve"> emissions during the first year of the energy crisis related to the war in Ukraine (2022</w:t>
      </w:r>
      <w:r w:rsidRPr="0027319E">
        <w:rPr>
          <w:rFonts w:ascii="Times New Roman" w:hAnsi="Times New Roman" w:cs="Times New Roman"/>
          <w:noProof/>
          <w:sz w:val="20"/>
          <w:szCs w:val="20"/>
          <w:lang w:val="en-GB"/>
        </w:rPr>
        <w:t>). Source:</w:t>
      </w:r>
      <w:r w:rsidRPr="00BD0BCF">
        <w:rPr>
          <w:rFonts w:ascii="Times New Roman" w:hAnsi="Times New Roman" w:cs="Times New Roman"/>
          <w:noProof/>
          <w:sz w:val="20"/>
          <w:szCs w:val="20"/>
          <w:lang w:val="en-GB"/>
        </w:rPr>
        <w:t xml:space="preserve"> </w:t>
      </w:r>
      <w:r w:rsidRPr="00BD0BCF">
        <w:rPr>
          <w:rFonts w:ascii="Times New Roman" w:hAnsi="Times New Roman" w:cs="Times New Roman"/>
          <w:noProof/>
          <w:sz w:val="20"/>
          <w:szCs w:val="20"/>
          <w:lang w:val="en-GB"/>
        </w:rPr>
        <w:fldChar w:fldCharType="begin"/>
      </w:r>
      <w:r w:rsidRPr="00BD0BCF">
        <w:rPr>
          <w:rFonts w:ascii="Times New Roman" w:hAnsi="Times New Roman" w:cs="Times New Roman"/>
          <w:noProof/>
          <w:sz w:val="20"/>
          <w:szCs w:val="20"/>
          <w:lang w:val="en-GB"/>
        </w:rPr>
        <w:instrText xml:space="preserve"> ADDIN EN.CITE &lt;EndNote&gt;&lt;Cite&gt;&lt;Author&gt;Energy Institute&lt;/Author&gt;&lt;Year&gt;2023&lt;/Year&gt;&lt;RecNum&gt;879&lt;/RecNum&gt;&lt;DisplayText&gt;(Energy Institute, 2023)&lt;/DisplayText&gt;&lt;record&gt;&lt;rec-number&gt;879&lt;/rec-number&gt;&lt;foreign-keys&gt;&lt;key app="EN" db-id="zap5wezzop9xpwe0awepz55lfafptea5pr2w" timestamp="1657176899"&gt;879&lt;/key&gt;&lt;/foreign-keys&gt;&lt;ref-type name="Dataset"&gt;59&lt;/ref-type&gt;&lt;contributors&gt;&lt;authors&gt;&lt;author&gt;Energy Institute,&lt;/author&gt;&lt;/authors&gt;&lt;/contributors&gt;&lt;titles&gt;&lt;title&gt;Energy Institute Statistical Review of World Energy&lt;/title&gt;&lt;/titles&gt;&lt;dates&gt;&lt;year&gt;2023&lt;/year&gt;&lt;/dates&gt;&lt;urls&gt;&lt;related-urls&gt;&lt;url&gt;https://www.energyinst.org/statistical-review&lt;/url&gt;&lt;/related-urls&gt;&lt;/urls&gt;&lt;/record&gt;&lt;/Cite&gt;&lt;/EndNote&gt;</w:instrText>
      </w:r>
      <w:r w:rsidRPr="00BD0BCF">
        <w:rPr>
          <w:rFonts w:ascii="Times New Roman" w:hAnsi="Times New Roman" w:cs="Times New Roman"/>
          <w:noProof/>
          <w:sz w:val="20"/>
          <w:szCs w:val="20"/>
          <w:lang w:val="en-GB"/>
        </w:rPr>
        <w:fldChar w:fldCharType="separate"/>
      </w:r>
      <w:r w:rsidRPr="00BD0BCF">
        <w:rPr>
          <w:rFonts w:ascii="Times New Roman" w:hAnsi="Times New Roman" w:cs="Times New Roman"/>
          <w:noProof/>
          <w:sz w:val="20"/>
          <w:szCs w:val="20"/>
          <w:lang w:val="en-GB"/>
        </w:rPr>
        <w:t>(Energy Institute, 2023)</w:t>
      </w:r>
      <w:r w:rsidRPr="00BD0BCF">
        <w:rPr>
          <w:rFonts w:ascii="Times New Roman" w:hAnsi="Times New Roman" w:cs="Times New Roman"/>
          <w:noProof/>
          <w:sz w:val="20"/>
          <w:szCs w:val="20"/>
          <w:lang w:val="en-GB"/>
        </w:rPr>
        <w:fldChar w:fldCharType="end"/>
      </w:r>
      <w:r w:rsidR="00BD0BCF">
        <w:rPr>
          <w:rFonts w:ascii="Times New Roman" w:hAnsi="Times New Roman" w:cs="Times New Roman"/>
          <w:noProof/>
          <w:sz w:val="20"/>
          <w:szCs w:val="20"/>
          <w:lang w:val="en-GB"/>
        </w:rPr>
        <w:t>.</w:t>
      </w:r>
    </w:p>
    <w:p w14:paraId="2DAE84E3" w14:textId="77777777" w:rsidR="00864CC8" w:rsidRDefault="00864CC8" w:rsidP="002C1963">
      <w:pPr>
        <w:spacing w:line="360" w:lineRule="auto"/>
        <w:rPr>
          <w:rFonts w:ascii="Times New Roman" w:hAnsi="Times New Roman" w:cs="Times New Roman"/>
          <w:lang w:val="en-GB"/>
        </w:rPr>
      </w:pPr>
    </w:p>
    <w:p w14:paraId="34F6A61B" w14:textId="7907BF2D" w:rsidR="00AE5DDA" w:rsidRPr="00F1299C" w:rsidRDefault="00864CC8" w:rsidP="00210D4E">
      <w:pPr>
        <w:spacing w:line="360" w:lineRule="auto"/>
        <w:jc w:val="both"/>
        <w:rPr>
          <w:rFonts w:ascii="Times New Roman" w:hAnsi="Times New Roman" w:cs="Times New Roman"/>
          <w:lang w:val="en-GB"/>
        </w:rPr>
      </w:pPr>
      <w:r w:rsidRPr="00864CC8">
        <w:rPr>
          <w:rFonts w:ascii="Times New Roman" w:hAnsi="Times New Roman" w:cs="Times New Roman"/>
          <w:lang w:val="en-GB"/>
        </w:rPr>
        <w:t>The direct impacts of the 2022 energy crisis in Spain and Germany are very different. Germany saw moderate economic growth and substantial improvement in energy intensity, pushing emissions down by 1.2%. In contrast, the Spanish economy showed a strong recovery, improvements in energy intensity were modest, and the carbon intensity increased, leading to a strong increase in CO</w:t>
      </w:r>
      <w:r w:rsidRPr="00210D4E">
        <w:rPr>
          <w:rFonts w:ascii="Times New Roman" w:hAnsi="Times New Roman" w:cs="Times New Roman"/>
          <w:vertAlign w:val="subscript"/>
          <w:lang w:val="en-GB"/>
        </w:rPr>
        <w:t>2</w:t>
      </w:r>
      <w:r w:rsidRPr="00864CC8">
        <w:rPr>
          <w:rFonts w:ascii="Times New Roman" w:hAnsi="Times New Roman" w:cs="Times New Roman"/>
          <w:lang w:val="en-GB"/>
        </w:rPr>
        <w:t xml:space="preserve"> emissions. However, CO</w:t>
      </w:r>
      <w:r w:rsidRPr="00210D4E">
        <w:rPr>
          <w:rFonts w:ascii="Times New Roman" w:hAnsi="Times New Roman" w:cs="Times New Roman"/>
          <w:vertAlign w:val="subscript"/>
          <w:lang w:val="en-GB"/>
        </w:rPr>
        <w:t>2</w:t>
      </w:r>
      <w:r w:rsidRPr="00864CC8">
        <w:rPr>
          <w:rFonts w:ascii="Times New Roman" w:hAnsi="Times New Roman" w:cs="Times New Roman"/>
          <w:lang w:val="en-GB"/>
        </w:rPr>
        <w:t xml:space="preserve"> emissions in Spain remain lower than in 2019; it has to be seen if, in 2023 and the following years, the country resumes a trajectory of reducing its emissions. Germany, which was highly dependent on Russian gas before the war, is likely to experience a more profound structural change in the current and coming years, particularly in energy-intensive industries.</w:t>
      </w:r>
      <w:r w:rsidR="002B3EFA">
        <w:rPr>
          <w:rFonts w:ascii="Times New Roman" w:hAnsi="Times New Roman" w:cs="Times New Roman"/>
          <w:lang w:val="en-GB"/>
        </w:rPr>
        <w:t xml:space="preserve"> </w:t>
      </w:r>
    </w:p>
    <w:p w14:paraId="32B2E815" w14:textId="77777777" w:rsidR="00BD0BCF" w:rsidRDefault="00BD0BCF">
      <w:pPr>
        <w:rPr>
          <w:rFonts w:ascii="Times New Roman" w:hAnsi="Times New Roman" w:cs="Times New Roman"/>
          <w:b/>
          <w:bCs/>
          <w:color w:val="44546A" w:themeColor="text2"/>
          <w:sz w:val="28"/>
          <w:szCs w:val="28"/>
          <w:lang w:val="en-GB"/>
        </w:rPr>
      </w:pPr>
      <w:r>
        <w:rPr>
          <w:rFonts w:ascii="Times New Roman" w:hAnsi="Times New Roman" w:cs="Times New Roman"/>
          <w:b/>
          <w:bCs/>
          <w:color w:val="44546A" w:themeColor="text2"/>
          <w:sz w:val="28"/>
          <w:szCs w:val="28"/>
          <w:lang w:val="en-GB"/>
        </w:rPr>
        <w:br w:type="page"/>
      </w:r>
    </w:p>
    <w:p w14:paraId="7C0F7935" w14:textId="32D8654C" w:rsidR="00787AA0" w:rsidRPr="00B3216C" w:rsidRDefault="00787AA0" w:rsidP="00787AA0">
      <w:pPr>
        <w:pStyle w:val="EndNoteBibliography"/>
        <w:spacing w:after="0"/>
        <w:ind w:left="720" w:hanging="720"/>
        <w:rPr>
          <w:rFonts w:ascii="Times New Roman" w:hAnsi="Times New Roman" w:cs="Times New Roman"/>
          <w:b/>
          <w:bCs/>
          <w:noProof w:val="0"/>
          <w:color w:val="44546A" w:themeColor="text2"/>
          <w:sz w:val="28"/>
          <w:szCs w:val="28"/>
          <w:lang w:val="fr-FR"/>
        </w:rPr>
      </w:pPr>
      <w:r w:rsidRPr="00B3216C">
        <w:rPr>
          <w:rFonts w:ascii="Times New Roman" w:hAnsi="Times New Roman" w:cs="Times New Roman"/>
          <w:b/>
          <w:bCs/>
          <w:noProof w:val="0"/>
          <w:color w:val="44546A" w:themeColor="text2"/>
          <w:sz w:val="28"/>
          <w:szCs w:val="28"/>
          <w:lang w:val="fr-FR"/>
        </w:rPr>
        <w:lastRenderedPageBreak/>
        <w:t>References</w:t>
      </w:r>
    </w:p>
    <w:p w14:paraId="256531EB" w14:textId="77777777" w:rsidR="00787AA0" w:rsidRPr="00B3216C" w:rsidRDefault="00787AA0" w:rsidP="00787AA0">
      <w:pPr>
        <w:pStyle w:val="EndNoteBibliography"/>
        <w:spacing w:after="0"/>
        <w:ind w:left="720" w:hanging="720"/>
        <w:rPr>
          <w:rFonts w:ascii="Times New Roman" w:hAnsi="Times New Roman" w:cs="Times New Roman"/>
          <w:lang w:val="fr-FR"/>
        </w:rPr>
      </w:pPr>
    </w:p>
    <w:p w14:paraId="678F2B90" w14:textId="77777777" w:rsidR="003516CC" w:rsidRPr="00B3216C" w:rsidRDefault="006F4619" w:rsidP="003516CC">
      <w:pPr>
        <w:pStyle w:val="EndNoteBibliography"/>
        <w:spacing w:after="0"/>
        <w:ind w:left="720" w:hanging="720"/>
        <w:rPr>
          <w:rFonts w:ascii="Times New Roman" w:hAnsi="Times New Roman" w:cs="Times New Roman"/>
        </w:rPr>
      </w:pPr>
      <w:r w:rsidRPr="00B3216C">
        <w:rPr>
          <w:rFonts w:ascii="Times New Roman" w:hAnsi="Times New Roman" w:cs="Times New Roman"/>
          <w:lang w:val="en-GB"/>
        </w:rPr>
        <w:fldChar w:fldCharType="begin"/>
      </w:r>
      <w:r w:rsidRPr="00B3216C">
        <w:rPr>
          <w:rFonts w:ascii="Times New Roman" w:hAnsi="Times New Roman" w:cs="Times New Roman"/>
          <w:lang w:val="fr-FR"/>
        </w:rPr>
        <w:instrText xml:space="preserve"> ADDIN EN.REFLIST </w:instrText>
      </w:r>
      <w:r w:rsidRPr="00B3216C">
        <w:rPr>
          <w:rFonts w:ascii="Times New Roman" w:hAnsi="Times New Roman" w:cs="Times New Roman"/>
          <w:lang w:val="en-GB"/>
        </w:rPr>
        <w:fldChar w:fldCharType="separate"/>
      </w:r>
      <w:r w:rsidR="003516CC" w:rsidRPr="00B3216C">
        <w:rPr>
          <w:rFonts w:ascii="Times New Roman" w:hAnsi="Times New Roman" w:cs="Times New Roman"/>
          <w:lang w:val="fr-FR"/>
        </w:rPr>
        <w:t xml:space="preserve">Agrawala, S., Dussaux, D., &amp; Monti, N. (2020). </w:t>
      </w:r>
      <w:r w:rsidR="003516CC" w:rsidRPr="00B3216C">
        <w:rPr>
          <w:rFonts w:ascii="Times New Roman" w:hAnsi="Times New Roman" w:cs="Times New Roman"/>
        </w:rPr>
        <w:t xml:space="preserve">What policies for greening the crisis response and economic recovery?: Lessons learned from past green stimulus measures and implications for the COVID-19 crisis. </w:t>
      </w:r>
    </w:p>
    <w:p w14:paraId="78ED9FD7"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Andreoni, V., &amp; Galmarini, S. (2012). Decoupling economic growth from carbon dioxide emissions: A decomposition analysis of Italian energy consumption. </w:t>
      </w:r>
      <w:r w:rsidRPr="00B3216C">
        <w:rPr>
          <w:rFonts w:ascii="Times New Roman" w:hAnsi="Times New Roman" w:cs="Times New Roman"/>
          <w:i/>
        </w:rPr>
        <w:t>Energy</w:t>
      </w:r>
      <w:r w:rsidRPr="00B3216C">
        <w:rPr>
          <w:rFonts w:ascii="Times New Roman" w:hAnsi="Times New Roman" w:cs="Times New Roman"/>
        </w:rPr>
        <w:t>,</w:t>
      </w:r>
      <w:r w:rsidRPr="00B3216C">
        <w:rPr>
          <w:rFonts w:ascii="Times New Roman" w:hAnsi="Times New Roman" w:cs="Times New Roman"/>
          <w:i/>
        </w:rPr>
        <w:t xml:space="preserve"> 44</w:t>
      </w:r>
      <w:r w:rsidRPr="00B3216C">
        <w:rPr>
          <w:rFonts w:ascii="Times New Roman" w:hAnsi="Times New Roman" w:cs="Times New Roman"/>
        </w:rPr>
        <w:t xml:space="preserve">(1), 682-691. </w:t>
      </w:r>
    </w:p>
    <w:p w14:paraId="1D89D14E"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Andreoni, V., &amp; Galmarini, S. (2016). Drivers in CO2 emissions variation: A decomposition analysis for 33 world countries. </w:t>
      </w:r>
      <w:r w:rsidRPr="00B3216C">
        <w:rPr>
          <w:rFonts w:ascii="Times New Roman" w:hAnsi="Times New Roman" w:cs="Times New Roman"/>
          <w:i/>
        </w:rPr>
        <w:t>Energy</w:t>
      </w:r>
      <w:r w:rsidRPr="00B3216C">
        <w:rPr>
          <w:rFonts w:ascii="Times New Roman" w:hAnsi="Times New Roman" w:cs="Times New Roman"/>
        </w:rPr>
        <w:t>,</w:t>
      </w:r>
      <w:r w:rsidRPr="00B3216C">
        <w:rPr>
          <w:rFonts w:ascii="Times New Roman" w:hAnsi="Times New Roman" w:cs="Times New Roman"/>
          <w:i/>
        </w:rPr>
        <w:t xml:space="preserve"> 103</w:t>
      </w:r>
      <w:r w:rsidRPr="00B3216C">
        <w:rPr>
          <w:rFonts w:ascii="Times New Roman" w:hAnsi="Times New Roman" w:cs="Times New Roman"/>
        </w:rPr>
        <w:t xml:space="preserve">, 27-37. </w:t>
      </w:r>
    </w:p>
    <w:p w14:paraId="737533A0"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Ang, B. W. (2005). The LMDI approach to decomposition analysis: a practical guide. </w:t>
      </w:r>
      <w:r w:rsidRPr="00B3216C">
        <w:rPr>
          <w:rFonts w:ascii="Times New Roman" w:hAnsi="Times New Roman" w:cs="Times New Roman"/>
          <w:i/>
        </w:rPr>
        <w:t>Energy Policy</w:t>
      </w:r>
      <w:r w:rsidRPr="00B3216C">
        <w:rPr>
          <w:rFonts w:ascii="Times New Roman" w:hAnsi="Times New Roman" w:cs="Times New Roman"/>
        </w:rPr>
        <w:t>,</w:t>
      </w:r>
      <w:r w:rsidRPr="00B3216C">
        <w:rPr>
          <w:rFonts w:ascii="Times New Roman" w:hAnsi="Times New Roman" w:cs="Times New Roman"/>
          <w:i/>
        </w:rPr>
        <w:t xml:space="preserve"> 33</w:t>
      </w:r>
      <w:r w:rsidRPr="00B3216C">
        <w:rPr>
          <w:rFonts w:ascii="Times New Roman" w:hAnsi="Times New Roman" w:cs="Times New Roman"/>
        </w:rPr>
        <w:t xml:space="preserve">(7), 867-871. </w:t>
      </w:r>
    </w:p>
    <w:p w14:paraId="2DE26B85"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Bhattacharyya, S. C., &amp; Matsumura, W. (2010). Changes in the GHG emission intensity in EU-15: lessons from a decomposition analysis. </w:t>
      </w:r>
      <w:r w:rsidRPr="00B3216C">
        <w:rPr>
          <w:rFonts w:ascii="Times New Roman" w:hAnsi="Times New Roman" w:cs="Times New Roman"/>
          <w:i/>
        </w:rPr>
        <w:t>Energy</w:t>
      </w:r>
      <w:r w:rsidRPr="00B3216C">
        <w:rPr>
          <w:rFonts w:ascii="Times New Roman" w:hAnsi="Times New Roman" w:cs="Times New Roman"/>
        </w:rPr>
        <w:t>,</w:t>
      </w:r>
      <w:r w:rsidRPr="00B3216C">
        <w:rPr>
          <w:rFonts w:ascii="Times New Roman" w:hAnsi="Times New Roman" w:cs="Times New Roman"/>
          <w:i/>
        </w:rPr>
        <w:t xml:space="preserve"> 35</w:t>
      </w:r>
      <w:r w:rsidRPr="00B3216C">
        <w:rPr>
          <w:rFonts w:ascii="Times New Roman" w:hAnsi="Times New Roman" w:cs="Times New Roman"/>
        </w:rPr>
        <w:t xml:space="preserve">(8), 3315-3322. </w:t>
      </w:r>
    </w:p>
    <w:p w14:paraId="54CA453C" w14:textId="77777777" w:rsidR="003516CC" w:rsidRPr="00B3216C" w:rsidRDefault="003516CC" w:rsidP="003516CC">
      <w:pPr>
        <w:pStyle w:val="EndNoteBibliography"/>
        <w:spacing w:after="0"/>
        <w:ind w:left="720" w:hanging="720"/>
        <w:rPr>
          <w:rFonts w:ascii="Times New Roman" w:hAnsi="Times New Roman" w:cs="Times New Roman"/>
          <w:lang w:val="es-AR"/>
        </w:rPr>
      </w:pPr>
      <w:r w:rsidRPr="00B3216C">
        <w:rPr>
          <w:rFonts w:ascii="Times New Roman" w:hAnsi="Times New Roman" w:cs="Times New Roman"/>
        </w:rPr>
        <w:t xml:space="preserve">Cansino, J. M., Roman, R., &amp; Ordonez, M. (2016). Main drivers of changes in CO2 emissions in the Spanish economy: A structural decomposition analysis. </w:t>
      </w:r>
      <w:r w:rsidRPr="00B3216C">
        <w:rPr>
          <w:rFonts w:ascii="Times New Roman" w:hAnsi="Times New Roman" w:cs="Times New Roman"/>
          <w:i/>
          <w:lang w:val="es-AR"/>
        </w:rPr>
        <w:t>Energy Policy</w:t>
      </w:r>
      <w:r w:rsidRPr="00B3216C">
        <w:rPr>
          <w:rFonts w:ascii="Times New Roman" w:hAnsi="Times New Roman" w:cs="Times New Roman"/>
          <w:lang w:val="es-AR"/>
        </w:rPr>
        <w:t>,</w:t>
      </w:r>
      <w:r w:rsidRPr="00B3216C">
        <w:rPr>
          <w:rFonts w:ascii="Times New Roman" w:hAnsi="Times New Roman" w:cs="Times New Roman"/>
          <w:i/>
          <w:lang w:val="es-AR"/>
        </w:rPr>
        <w:t xml:space="preserve"> 89</w:t>
      </w:r>
      <w:r w:rsidRPr="00B3216C">
        <w:rPr>
          <w:rFonts w:ascii="Times New Roman" w:hAnsi="Times New Roman" w:cs="Times New Roman"/>
          <w:lang w:val="es-AR"/>
        </w:rPr>
        <w:t xml:space="preserve">, 150-159. </w:t>
      </w:r>
    </w:p>
    <w:p w14:paraId="609F7381"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lang w:val="es-AR"/>
        </w:rPr>
        <w:t xml:space="preserve">Cansino, J. M., Sánchez-Braza, A., &amp; Rodríguez-Arévalo, M. L. (2015). </w:t>
      </w:r>
      <w:r w:rsidRPr="00B3216C">
        <w:rPr>
          <w:rFonts w:ascii="Times New Roman" w:hAnsi="Times New Roman" w:cs="Times New Roman"/>
        </w:rPr>
        <w:t xml:space="preserve">Driving forces of Spain׳ s CO2 emissions: A LMDI decomposition approach. </w:t>
      </w:r>
      <w:r w:rsidRPr="00B3216C">
        <w:rPr>
          <w:rFonts w:ascii="Times New Roman" w:hAnsi="Times New Roman" w:cs="Times New Roman"/>
          <w:i/>
        </w:rPr>
        <w:t>Renewable and Sustainable Energy Reviews</w:t>
      </w:r>
      <w:r w:rsidRPr="00B3216C">
        <w:rPr>
          <w:rFonts w:ascii="Times New Roman" w:hAnsi="Times New Roman" w:cs="Times New Roman"/>
        </w:rPr>
        <w:t>,</w:t>
      </w:r>
      <w:r w:rsidRPr="00B3216C">
        <w:rPr>
          <w:rFonts w:ascii="Times New Roman" w:hAnsi="Times New Roman" w:cs="Times New Roman"/>
          <w:i/>
        </w:rPr>
        <w:t xml:space="preserve"> 48</w:t>
      </w:r>
      <w:r w:rsidRPr="00B3216C">
        <w:rPr>
          <w:rFonts w:ascii="Times New Roman" w:hAnsi="Times New Roman" w:cs="Times New Roman"/>
        </w:rPr>
        <w:t xml:space="preserve">, 749-759. </w:t>
      </w:r>
    </w:p>
    <w:p w14:paraId="7E7803E1"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Capoccia, G., &amp; Kelemen, R. D. (2007). The study of critical junctures: Theory, narrative, and counterfactuals in historical institutionalism. </w:t>
      </w:r>
      <w:r w:rsidRPr="00B3216C">
        <w:rPr>
          <w:rFonts w:ascii="Times New Roman" w:hAnsi="Times New Roman" w:cs="Times New Roman"/>
          <w:i/>
        </w:rPr>
        <w:t>World politics</w:t>
      </w:r>
      <w:r w:rsidRPr="00B3216C">
        <w:rPr>
          <w:rFonts w:ascii="Times New Roman" w:hAnsi="Times New Roman" w:cs="Times New Roman"/>
        </w:rPr>
        <w:t>,</w:t>
      </w:r>
      <w:r w:rsidRPr="00B3216C">
        <w:rPr>
          <w:rFonts w:ascii="Times New Roman" w:hAnsi="Times New Roman" w:cs="Times New Roman"/>
          <w:i/>
        </w:rPr>
        <w:t xml:space="preserve"> 59</w:t>
      </w:r>
      <w:r w:rsidRPr="00B3216C">
        <w:rPr>
          <w:rFonts w:ascii="Times New Roman" w:hAnsi="Times New Roman" w:cs="Times New Roman"/>
        </w:rPr>
        <w:t xml:space="preserve">(3), 341-369. </w:t>
      </w:r>
    </w:p>
    <w:p w14:paraId="70B57345"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Cheung, G., Davies, P. J., &amp; Bassen, A. (2019). In the transition of energy systems: What lessons can be learnt from the German achievement? </w:t>
      </w:r>
      <w:r w:rsidRPr="00B3216C">
        <w:rPr>
          <w:rFonts w:ascii="Times New Roman" w:hAnsi="Times New Roman" w:cs="Times New Roman"/>
          <w:i/>
        </w:rPr>
        <w:t>Energy Policy</w:t>
      </w:r>
      <w:r w:rsidRPr="00B3216C">
        <w:rPr>
          <w:rFonts w:ascii="Times New Roman" w:hAnsi="Times New Roman" w:cs="Times New Roman"/>
        </w:rPr>
        <w:t>,</w:t>
      </w:r>
      <w:r w:rsidRPr="00B3216C">
        <w:rPr>
          <w:rFonts w:ascii="Times New Roman" w:hAnsi="Times New Roman" w:cs="Times New Roman"/>
          <w:i/>
        </w:rPr>
        <w:t xml:space="preserve"> 132</w:t>
      </w:r>
      <w:r w:rsidRPr="00B3216C">
        <w:rPr>
          <w:rFonts w:ascii="Times New Roman" w:hAnsi="Times New Roman" w:cs="Times New Roman"/>
        </w:rPr>
        <w:t xml:space="preserve">, 633-646. </w:t>
      </w:r>
    </w:p>
    <w:p w14:paraId="2889E975"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Corfee-Morlot, J., Depledge, J., &amp; Winkler, H. (2021). COVID-19 recovery and climate policy. In (Vol. 21, pp. 1249-1256): Taylor &amp; Francis.</w:t>
      </w:r>
    </w:p>
    <w:p w14:paraId="0434341D"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Diakoulaki, D., &amp; Mandaraka, M. (2007). Decomposition analysis for assessing the progress in decoupling industrial growth from CO2 emissions in the EU manufacturing sector. </w:t>
      </w:r>
      <w:r w:rsidRPr="00B3216C">
        <w:rPr>
          <w:rFonts w:ascii="Times New Roman" w:hAnsi="Times New Roman" w:cs="Times New Roman"/>
          <w:i/>
        </w:rPr>
        <w:t>Energy Economics</w:t>
      </w:r>
      <w:r w:rsidRPr="00B3216C">
        <w:rPr>
          <w:rFonts w:ascii="Times New Roman" w:hAnsi="Times New Roman" w:cs="Times New Roman"/>
        </w:rPr>
        <w:t>,</w:t>
      </w:r>
      <w:r w:rsidRPr="00B3216C">
        <w:rPr>
          <w:rFonts w:ascii="Times New Roman" w:hAnsi="Times New Roman" w:cs="Times New Roman"/>
          <w:i/>
        </w:rPr>
        <w:t xml:space="preserve"> 29</w:t>
      </w:r>
      <w:r w:rsidRPr="00B3216C">
        <w:rPr>
          <w:rFonts w:ascii="Times New Roman" w:hAnsi="Times New Roman" w:cs="Times New Roman"/>
        </w:rPr>
        <w:t xml:space="preserve">(4), 636-664. </w:t>
      </w:r>
    </w:p>
    <w:p w14:paraId="37923ADC"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Dupont, C., Oberthür, S., &amp; von Homeyer, I. (2020). The Covid-19 crisis: a critical juncture for EU climate policy development? </w:t>
      </w:r>
      <w:r w:rsidRPr="00B3216C">
        <w:rPr>
          <w:rFonts w:ascii="Times New Roman" w:hAnsi="Times New Roman" w:cs="Times New Roman"/>
          <w:i/>
        </w:rPr>
        <w:t>Journal of European Integration</w:t>
      </w:r>
      <w:r w:rsidRPr="00B3216C">
        <w:rPr>
          <w:rFonts w:ascii="Times New Roman" w:hAnsi="Times New Roman" w:cs="Times New Roman"/>
        </w:rPr>
        <w:t>,</w:t>
      </w:r>
      <w:r w:rsidRPr="00B3216C">
        <w:rPr>
          <w:rFonts w:ascii="Times New Roman" w:hAnsi="Times New Roman" w:cs="Times New Roman"/>
          <w:i/>
        </w:rPr>
        <w:t xml:space="preserve"> 42</w:t>
      </w:r>
      <w:r w:rsidRPr="00B3216C">
        <w:rPr>
          <w:rFonts w:ascii="Times New Roman" w:hAnsi="Times New Roman" w:cs="Times New Roman"/>
        </w:rPr>
        <w:t xml:space="preserve">(8), 1095-1110. </w:t>
      </w:r>
    </w:p>
    <w:p w14:paraId="22CFF486" w14:textId="7FA6E89F"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Energy Institute. (2023). </w:t>
      </w:r>
      <w:r w:rsidRPr="00B3216C">
        <w:rPr>
          <w:rFonts w:ascii="Times New Roman" w:hAnsi="Times New Roman" w:cs="Times New Roman"/>
          <w:i/>
        </w:rPr>
        <w:t>Energy Institute Statistical Review of World Energy</w:t>
      </w:r>
      <w:r w:rsidRPr="00B3216C">
        <w:rPr>
          <w:rFonts w:ascii="Times New Roman" w:hAnsi="Times New Roman" w:cs="Times New Roman"/>
        </w:rPr>
        <w:t xml:space="preserve">. </w:t>
      </w:r>
      <w:hyperlink r:id="rId8" w:history="1">
        <w:r w:rsidRPr="00B3216C">
          <w:rPr>
            <w:rStyle w:val="Hyperlink"/>
            <w:rFonts w:ascii="Times New Roman" w:hAnsi="Times New Roman" w:cs="Times New Roman"/>
          </w:rPr>
          <w:t>https://www.energyinst.org/statistical-review</w:t>
        </w:r>
      </w:hyperlink>
      <w:r w:rsidRPr="00B3216C">
        <w:rPr>
          <w:rFonts w:ascii="Times New Roman" w:hAnsi="Times New Roman" w:cs="Times New Roman"/>
        </w:rPr>
        <w:t xml:space="preserve"> </w:t>
      </w:r>
    </w:p>
    <w:p w14:paraId="4093D879" w14:textId="3B9CDF42"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Eurostat. (2022). </w:t>
      </w:r>
      <w:r w:rsidRPr="00B3216C">
        <w:rPr>
          <w:rFonts w:ascii="Times New Roman" w:hAnsi="Times New Roman" w:cs="Times New Roman"/>
          <w:i/>
        </w:rPr>
        <w:t>Eurostat Database</w:t>
      </w:r>
      <w:r w:rsidRPr="00B3216C">
        <w:rPr>
          <w:rFonts w:ascii="Times New Roman" w:hAnsi="Times New Roman" w:cs="Times New Roman"/>
        </w:rPr>
        <w:t xml:space="preserve">. </w:t>
      </w:r>
      <w:hyperlink r:id="rId9" w:history="1">
        <w:r w:rsidRPr="00B3216C">
          <w:rPr>
            <w:rStyle w:val="Hyperlink"/>
            <w:rFonts w:ascii="Times New Roman" w:hAnsi="Times New Roman" w:cs="Times New Roman"/>
          </w:rPr>
          <w:t>https://doi.org/https://ec.europa.eu/eurostat/web/main/data/database</w:t>
        </w:r>
      </w:hyperlink>
    </w:p>
    <w:p w14:paraId="74A536F4"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Fioretos, O., Falleti, T. G., &amp; Sheingate, A. (2016). Historical institutionalism in political science. </w:t>
      </w:r>
      <w:r w:rsidRPr="00B3216C">
        <w:rPr>
          <w:rFonts w:ascii="Times New Roman" w:hAnsi="Times New Roman" w:cs="Times New Roman"/>
          <w:i/>
        </w:rPr>
        <w:t>The Oxford handbook of historical institutionalism</w:t>
      </w:r>
      <w:r w:rsidRPr="00B3216C">
        <w:rPr>
          <w:rFonts w:ascii="Times New Roman" w:hAnsi="Times New Roman" w:cs="Times New Roman"/>
        </w:rPr>
        <w:t xml:space="preserve">, 4-28. </w:t>
      </w:r>
    </w:p>
    <w:p w14:paraId="62FF723B"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Geels, F. W. (2013). The impact of the financial–economic crisis on sustainability transitions: Financial investment, governance and public discourse. </w:t>
      </w:r>
      <w:r w:rsidRPr="00B3216C">
        <w:rPr>
          <w:rFonts w:ascii="Times New Roman" w:hAnsi="Times New Roman" w:cs="Times New Roman"/>
          <w:i/>
        </w:rPr>
        <w:t>Environmental Innovation and Societal Transitions</w:t>
      </w:r>
      <w:r w:rsidRPr="00B3216C">
        <w:rPr>
          <w:rFonts w:ascii="Times New Roman" w:hAnsi="Times New Roman" w:cs="Times New Roman"/>
        </w:rPr>
        <w:t>,</w:t>
      </w:r>
      <w:r w:rsidRPr="00B3216C">
        <w:rPr>
          <w:rFonts w:ascii="Times New Roman" w:hAnsi="Times New Roman" w:cs="Times New Roman"/>
          <w:i/>
        </w:rPr>
        <w:t xml:space="preserve"> 6</w:t>
      </w:r>
      <w:r w:rsidRPr="00B3216C">
        <w:rPr>
          <w:rFonts w:ascii="Times New Roman" w:hAnsi="Times New Roman" w:cs="Times New Roman"/>
        </w:rPr>
        <w:t xml:space="preserve">, 67-95. </w:t>
      </w:r>
    </w:p>
    <w:p w14:paraId="6375B3A5" w14:textId="77777777" w:rsidR="003516CC" w:rsidRPr="00B3216C" w:rsidRDefault="003516CC" w:rsidP="003516CC">
      <w:pPr>
        <w:pStyle w:val="EndNoteBibliography"/>
        <w:spacing w:after="0"/>
        <w:ind w:left="720" w:hanging="720"/>
        <w:rPr>
          <w:rFonts w:ascii="Times New Roman" w:hAnsi="Times New Roman" w:cs="Times New Roman"/>
          <w:lang w:val="es-AR"/>
        </w:rPr>
      </w:pPr>
      <w:r w:rsidRPr="00B3216C">
        <w:rPr>
          <w:rFonts w:ascii="Times New Roman" w:hAnsi="Times New Roman" w:cs="Times New Roman"/>
        </w:rPr>
        <w:t xml:space="preserve">Geels, F. W., Pereira, G. I., &amp; Pinkse, J. (2022). Moving beyond opportunity narratives in COVID-19 green recoveries: A comparative analysis of public investment plans in France, Germany, and the United Kingdom. </w:t>
      </w:r>
      <w:r w:rsidRPr="00B3216C">
        <w:rPr>
          <w:rFonts w:ascii="Times New Roman" w:hAnsi="Times New Roman" w:cs="Times New Roman"/>
          <w:i/>
          <w:lang w:val="es-AR"/>
        </w:rPr>
        <w:t>Energy Research &amp; Social Science</w:t>
      </w:r>
      <w:r w:rsidRPr="00B3216C">
        <w:rPr>
          <w:rFonts w:ascii="Times New Roman" w:hAnsi="Times New Roman" w:cs="Times New Roman"/>
          <w:lang w:val="es-AR"/>
        </w:rPr>
        <w:t>,</w:t>
      </w:r>
      <w:r w:rsidRPr="00B3216C">
        <w:rPr>
          <w:rFonts w:ascii="Times New Roman" w:hAnsi="Times New Roman" w:cs="Times New Roman"/>
          <w:i/>
          <w:lang w:val="es-AR"/>
        </w:rPr>
        <w:t xml:space="preserve"> 84</w:t>
      </w:r>
      <w:r w:rsidRPr="00B3216C">
        <w:rPr>
          <w:rFonts w:ascii="Times New Roman" w:hAnsi="Times New Roman" w:cs="Times New Roman"/>
          <w:lang w:val="es-AR"/>
        </w:rPr>
        <w:t xml:space="preserve">, 102368. </w:t>
      </w:r>
    </w:p>
    <w:p w14:paraId="7A0C0C17"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lang w:val="es-AR"/>
        </w:rPr>
        <w:t xml:space="preserve">González, P. F., Landajo, M., &amp; Presno, M. J. (2014). </w:t>
      </w:r>
      <w:r w:rsidRPr="00B3216C">
        <w:rPr>
          <w:rFonts w:ascii="Times New Roman" w:hAnsi="Times New Roman" w:cs="Times New Roman"/>
        </w:rPr>
        <w:t xml:space="preserve">Tracking European Union CO2 emissions through LMDI (logarithmic-mean Divisia index) decomposition. The activity revaluation approach. </w:t>
      </w:r>
      <w:r w:rsidRPr="00B3216C">
        <w:rPr>
          <w:rFonts w:ascii="Times New Roman" w:hAnsi="Times New Roman" w:cs="Times New Roman"/>
          <w:i/>
        </w:rPr>
        <w:t>Energy</w:t>
      </w:r>
      <w:r w:rsidRPr="00B3216C">
        <w:rPr>
          <w:rFonts w:ascii="Times New Roman" w:hAnsi="Times New Roman" w:cs="Times New Roman"/>
        </w:rPr>
        <w:t>,</w:t>
      </w:r>
      <w:r w:rsidRPr="00B3216C">
        <w:rPr>
          <w:rFonts w:ascii="Times New Roman" w:hAnsi="Times New Roman" w:cs="Times New Roman"/>
          <w:i/>
        </w:rPr>
        <w:t xml:space="preserve"> 73</w:t>
      </w:r>
      <w:r w:rsidRPr="00B3216C">
        <w:rPr>
          <w:rFonts w:ascii="Times New Roman" w:hAnsi="Times New Roman" w:cs="Times New Roman"/>
        </w:rPr>
        <w:t xml:space="preserve">, 741-750. </w:t>
      </w:r>
    </w:p>
    <w:p w14:paraId="27ED81D5"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Hepburn, C., O’Callaghan, B., Stern, N., Stiglitz, J., &amp; Zenghelis, D. (2020). Will COVID-19 fiscal recovery packages accelerate or retard progress on climate change? </w:t>
      </w:r>
      <w:r w:rsidRPr="00B3216C">
        <w:rPr>
          <w:rFonts w:ascii="Times New Roman" w:hAnsi="Times New Roman" w:cs="Times New Roman"/>
          <w:i/>
        </w:rPr>
        <w:t>Oxford review of economic policy</w:t>
      </w:r>
      <w:r w:rsidRPr="00B3216C">
        <w:rPr>
          <w:rFonts w:ascii="Times New Roman" w:hAnsi="Times New Roman" w:cs="Times New Roman"/>
        </w:rPr>
        <w:t>,</w:t>
      </w:r>
      <w:r w:rsidRPr="00B3216C">
        <w:rPr>
          <w:rFonts w:ascii="Times New Roman" w:hAnsi="Times New Roman" w:cs="Times New Roman"/>
          <w:i/>
        </w:rPr>
        <w:t xml:space="preserve"> 36</w:t>
      </w:r>
      <w:r w:rsidRPr="00B3216C">
        <w:rPr>
          <w:rFonts w:ascii="Times New Roman" w:hAnsi="Times New Roman" w:cs="Times New Roman"/>
        </w:rPr>
        <w:t xml:space="preserve">(Supplement_1), S359-S381. </w:t>
      </w:r>
    </w:p>
    <w:p w14:paraId="1852D0DE" w14:textId="48AF2D9E"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IEA. (2023). </w:t>
      </w:r>
      <w:r w:rsidRPr="00B3216C">
        <w:rPr>
          <w:rFonts w:ascii="Times New Roman" w:hAnsi="Times New Roman" w:cs="Times New Roman"/>
          <w:i/>
        </w:rPr>
        <w:t>Europe’s energy crisis: What factors drove the record fall in natural gas demand in 2022?</w:t>
      </w:r>
      <w:r w:rsidRPr="00B3216C">
        <w:rPr>
          <w:rFonts w:ascii="Times New Roman" w:hAnsi="Times New Roman" w:cs="Times New Roman"/>
        </w:rPr>
        <w:t xml:space="preserve"> </w:t>
      </w:r>
      <w:hyperlink r:id="rId10" w:history="1">
        <w:r w:rsidRPr="00B3216C">
          <w:rPr>
            <w:rStyle w:val="Hyperlink"/>
            <w:rFonts w:ascii="Times New Roman" w:hAnsi="Times New Roman" w:cs="Times New Roman"/>
          </w:rPr>
          <w:t>https://www.iea.org/commentaries/europe-s-energy-crisis-what-factors-drove-the-record-fall-in-natural-gas-demand-in-2022</w:t>
        </w:r>
      </w:hyperlink>
    </w:p>
    <w:p w14:paraId="3C4F0C99"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Jänicke, M. (2016). Innovation and climate leadership. </w:t>
      </w:r>
      <w:r w:rsidRPr="00B3216C">
        <w:rPr>
          <w:rFonts w:ascii="Times New Roman" w:hAnsi="Times New Roman" w:cs="Times New Roman"/>
          <w:i/>
        </w:rPr>
        <w:t>The European Union in International Climate Change Politics: Still Taking a Lead?</w:t>
      </w:r>
      <w:r w:rsidRPr="00B3216C">
        <w:rPr>
          <w:rFonts w:ascii="Times New Roman" w:hAnsi="Times New Roman" w:cs="Times New Roman"/>
        </w:rPr>
        <w:t>,</w:t>
      </w:r>
      <w:r w:rsidRPr="00B3216C">
        <w:rPr>
          <w:rFonts w:ascii="Times New Roman" w:hAnsi="Times New Roman" w:cs="Times New Roman"/>
          <w:i/>
        </w:rPr>
        <w:t xml:space="preserve"> 1</w:t>
      </w:r>
      <w:r w:rsidRPr="00B3216C">
        <w:rPr>
          <w:rFonts w:ascii="Times New Roman" w:hAnsi="Times New Roman" w:cs="Times New Roman"/>
        </w:rPr>
        <w:t xml:space="preserve">, 114. </w:t>
      </w:r>
    </w:p>
    <w:p w14:paraId="0B1C004E"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Karmellos, M., Kopidou, D., &amp; Diakoulaki, D. (2016). A decomposition analysis of the driving factors of CO2 (Carbon dioxide) emissions from the power sector in the European Union countries. </w:t>
      </w:r>
      <w:r w:rsidRPr="00B3216C">
        <w:rPr>
          <w:rFonts w:ascii="Times New Roman" w:hAnsi="Times New Roman" w:cs="Times New Roman"/>
          <w:i/>
        </w:rPr>
        <w:t>Energy</w:t>
      </w:r>
      <w:r w:rsidRPr="00B3216C">
        <w:rPr>
          <w:rFonts w:ascii="Times New Roman" w:hAnsi="Times New Roman" w:cs="Times New Roman"/>
        </w:rPr>
        <w:t>,</w:t>
      </w:r>
      <w:r w:rsidRPr="00B3216C">
        <w:rPr>
          <w:rFonts w:ascii="Times New Roman" w:hAnsi="Times New Roman" w:cs="Times New Roman"/>
          <w:i/>
        </w:rPr>
        <w:t xml:space="preserve"> 94</w:t>
      </w:r>
      <w:r w:rsidRPr="00B3216C">
        <w:rPr>
          <w:rFonts w:ascii="Times New Roman" w:hAnsi="Times New Roman" w:cs="Times New Roman"/>
        </w:rPr>
        <w:t xml:space="preserve">, 680-692. </w:t>
      </w:r>
    </w:p>
    <w:p w14:paraId="4D1B1020"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lastRenderedPageBreak/>
        <w:t xml:space="preserve">Karmellos, M., Kosmadakis, V., Dimas, P., Tsakanikas, A., Fylaktos, N., Taliotis, C., &amp; Zachariadis, T. (2021). A decomposition and decoupling analysis of carbon dioxide emissions from electricity generation: Evidence from the EU-27 and the UK. </w:t>
      </w:r>
      <w:r w:rsidRPr="00B3216C">
        <w:rPr>
          <w:rFonts w:ascii="Times New Roman" w:hAnsi="Times New Roman" w:cs="Times New Roman"/>
          <w:i/>
        </w:rPr>
        <w:t>Energy</w:t>
      </w:r>
      <w:r w:rsidRPr="00B3216C">
        <w:rPr>
          <w:rFonts w:ascii="Times New Roman" w:hAnsi="Times New Roman" w:cs="Times New Roman"/>
        </w:rPr>
        <w:t>,</w:t>
      </w:r>
      <w:r w:rsidRPr="00B3216C">
        <w:rPr>
          <w:rFonts w:ascii="Times New Roman" w:hAnsi="Times New Roman" w:cs="Times New Roman"/>
          <w:i/>
        </w:rPr>
        <w:t xml:space="preserve"> 231</w:t>
      </w:r>
      <w:r w:rsidRPr="00B3216C">
        <w:rPr>
          <w:rFonts w:ascii="Times New Roman" w:hAnsi="Times New Roman" w:cs="Times New Roman"/>
        </w:rPr>
        <w:t xml:space="preserve">, 120861. </w:t>
      </w:r>
    </w:p>
    <w:p w14:paraId="32CED7D7"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Kopidou, D., &amp; Diakoulaki, D. (2017). Decomposing industrial CO2 emissions of Southern European countries into production-and consumption-based driving factors. </w:t>
      </w:r>
      <w:r w:rsidRPr="00B3216C">
        <w:rPr>
          <w:rFonts w:ascii="Times New Roman" w:hAnsi="Times New Roman" w:cs="Times New Roman"/>
          <w:i/>
        </w:rPr>
        <w:t>Journal of Cleaner Production</w:t>
      </w:r>
      <w:r w:rsidRPr="00B3216C">
        <w:rPr>
          <w:rFonts w:ascii="Times New Roman" w:hAnsi="Times New Roman" w:cs="Times New Roman"/>
        </w:rPr>
        <w:t>,</w:t>
      </w:r>
      <w:r w:rsidRPr="00B3216C">
        <w:rPr>
          <w:rFonts w:ascii="Times New Roman" w:hAnsi="Times New Roman" w:cs="Times New Roman"/>
          <w:i/>
        </w:rPr>
        <w:t xml:space="preserve"> 167</w:t>
      </w:r>
      <w:r w:rsidRPr="00B3216C">
        <w:rPr>
          <w:rFonts w:ascii="Times New Roman" w:hAnsi="Times New Roman" w:cs="Times New Roman"/>
        </w:rPr>
        <w:t xml:space="preserve">, 1325-1334. </w:t>
      </w:r>
    </w:p>
    <w:p w14:paraId="6F246F7B"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Kopidou, D., Tsakanikas, A., &amp; Diakoulaki, D. (2016). Common trends and drivers of CO2 emissions and employment: a decomposition analysis in the industrial sector of selected European Union countries. </w:t>
      </w:r>
      <w:r w:rsidRPr="00B3216C">
        <w:rPr>
          <w:rFonts w:ascii="Times New Roman" w:hAnsi="Times New Roman" w:cs="Times New Roman"/>
          <w:i/>
        </w:rPr>
        <w:t>Journal of Cleaner Production</w:t>
      </w:r>
      <w:r w:rsidRPr="00B3216C">
        <w:rPr>
          <w:rFonts w:ascii="Times New Roman" w:hAnsi="Times New Roman" w:cs="Times New Roman"/>
        </w:rPr>
        <w:t>,</w:t>
      </w:r>
      <w:r w:rsidRPr="00B3216C">
        <w:rPr>
          <w:rFonts w:ascii="Times New Roman" w:hAnsi="Times New Roman" w:cs="Times New Roman"/>
          <w:i/>
        </w:rPr>
        <w:t xml:space="preserve"> 112</w:t>
      </w:r>
      <w:r w:rsidRPr="00B3216C">
        <w:rPr>
          <w:rFonts w:ascii="Times New Roman" w:hAnsi="Times New Roman" w:cs="Times New Roman"/>
        </w:rPr>
        <w:t xml:space="preserve">, 4159-4172. </w:t>
      </w:r>
    </w:p>
    <w:p w14:paraId="59C45AF7"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Lamb, W. F., Wiedmann, T., Pongratz, J., Andrew, R., Crippa, M., Olivier, J. G., Wiedenhofer, D., Mattioli, G., Al Khourdajie, A., &amp; House, J. (2021). A review of trends and drivers of greenhouse gas emissions by sector from 1990 to 2018. </w:t>
      </w:r>
      <w:r w:rsidRPr="00B3216C">
        <w:rPr>
          <w:rFonts w:ascii="Times New Roman" w:hAnsi="Times New Roman" w:cs="Times New Roman"/>
          <w:i/>
        </w:rPr>
        <w:t>Environmental Research Letters</w:t>
      </w:r>
      <w:r w:rsidRPr="00B3216C">
        <w:rPr>
          <w:rFonts w:ascii="Times New Roman" w:hAnsi="Times New Roman" w:cs="Times New Roman"/>
        </w:rPr>
        <w:t xml:space="preserve">. </w:t>
      </w:r>
    </w:p>
    <w:p w14:paraId="504B177A"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Li, R., Wang, Q., Liu, Y., &amp; Yang, X. (2021). How can Germany reduce production-based and consumption-based carbon emissions? A decomposition analysis. </w:t>
      </w:r>
      <w:r w:rsidRPr="00B3216C">
        <w:rPr>
          <w:rFonts w:ascii="Times New Roman" w:hAnsi="Times New Roman" w:cs="Times New Roman"/>
          <w:i/>
        </w:rPr>
        <w:t>Carbon Management</w:t>
      </w:r>
      <w:r w:rsidRPr="00B3216C">
        <w:rPr>
          <w:rFonts w:ascii="Times New Roman" w:hAnsi="Times New Roman" w:cs="Times New Roman"/>
        </w:rPr>
        <w:t>,</w:t>
      </w:r>
      <w:r w:rsidRPr="00B3216C">
        <w:rPr>
          <w:rFonts w:ascii="Times New Roman" w:hAnsi="Times New Roman" w:cs="Times New Roman"/>
          <w:i/>
        </w:rPr>
        <w:t xml:space="preserve"> 12</w:t>
      </w:r>
      <w:r w:rsidRPr="00B3216C">
        <w:rPr>
          <w:rFonts w:ascii="Times New Roman" w:hAnsi="Times New Roman" w:cs="Times New Roman"/>
        </w:rPr>
        <w:t xml:space="preserve">(4), 335-357. </w:t>
      </w:r>
    </w:p>
    <w:p w14:paraId="3938D5BD"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Mendiluce, M., &amp; Schipper, L. (2011). Trends in passenger transport and freight energy use in Spain. </w:t>
      </w:r>
      <w:r w:rsidRPr="00B3216C">
        <w:rPr>
          <w:rFonts w:ascii="Times New Roman" w:hAnsi="Times New Roman" w:cs="Times New Roman"/>
          <w:i/>
        </w:rPr>
        <w:t>Energy Policy</w:t>
      </w:r>
      <w:r w:rsidRPr="00B3216C">
        <w:rPr>
          <w:rFonts w:ascii="Times New Roman" w:hAnsi="Times New Roman" w:cs="Times New Roman"/>
        </w:rPr>
        <w:t>,</w:t>
      </w:r>
      <w:r w:rsidRPr="00B3216C">
        <w:rPr>
          <w:rFonts w:ascii="Times New Roman" w:hAnsi="Times New Roman" w:cs="Times New Roman"/>
          <w:i/>
        </w:rPr>
        <w:t xml:space="preserve"> 39</w:t>
      </w:r>
      <w:r w:rsidRPr="00B3216C">
        <w:rPr>
          <w:rFonts w:ascii="Times New Roman" w:hAnsi="Times New Roman" w:cs="Times New Roman"/>
        </w:rPr>
        <w:t xml:space="preserve">(10), 6466-6475. </w:t>
      </w:r>
    </w:p>
    <w:p w14:paraId="6DD2BFFE"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Moutinho, V., Moreira, A. C., &amp; Silva, P. M. (2015). The driving forces of change in energy-related CO2 emissions in Eastern, Western, Northern and Southern Europe: The LMDI approach to decomposition analysis. </w:t>
      </w:r>
      <w:r w:rsidRPr="00B3216C">
        <w:rPr>
          <w:rFonts w:ascii="Times New Roman" w:hAnsi="Times New Roman" w:cs="Times New Roman"/>
          <w:i/>
        </w:rPr>
        <w:t>Renewable and Sustainable Energy Reviews</w:t>
      </w:r>
      <w:r w:rsidRPr="00B3216C">
        <w:rPr>
          <w:rFonts w:ascii="Times New Roman" w:hAnsi="Times New Roman" w:cs="Times New Roman"/>
        </w:rPr>
        <w:t>,</w:t>
      </w:r>
      <w:r w:rsidRPr="00B3216C">
        <w:rPr>
          <w:rFonts w:ascii="Times New Roman" w:hAnsi="Times New Roman" w:cs="Times New Roman"/>
          <w:i/>
        </w:rPr>
        <w:t xml:space="preserve"> 50</w:t>
      </w:r>
      <w:r w:rsidRPr="00B3216C">
        <w:rPr>
          <w:rFonts w:ascii="Times New Roman" w:hAnsi="Times New Roman" w:cs="Times New Roman"/>
        </w:rPr>
        <w:t xml:space="preserve">, 1485-1499. </w:t>
      </w:r>
    </w:p>
    <w:p w14:paraId="079DF4BE"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O'Mahony, T. (2013). Decomposition of Ireland's carbon emissions from 1990 to 2010: an extended Kaya identity. </w:t>
      </w:r>
      <w:r w:rsidRPr="00B3216C">
        <w:rPr>
          <w:rFonts w:ascii="Times New Roman" w:hAnsi="Times New Roman" w:cs="Times New Roman"/>
          <w:i/>
        </w:rPr>
        <w:t>Energy Policy</w:t>
      </w:r>
      <w:r w:rsidRPr="00B3216C">
        <w:rPr>
          <w:rFonts w:ascii="Times New Roman" w:hAnsi="Times New Roman" w:cs="Times New Roman"/>
        </w:rPr>
        <w:t>,</w:t>
      </w:r>
      <w:r w:rsidRPr="00B3216C">
        <w:rPr>
          <w:rFonts w:ascii="Times New Roman" w:hAnsi="Times New Roman" w:cs="Times New Roman"/>
          <w:i/>
        </w:rPr>
        <w:t xml:space="preserve"> 59</w:t>
      </w:r>
      <w:r w:rsidRPr="00B3216C">
        <w:rPr>
          <w:rFonts w:ascii="Times New Roman" w:hAnsi="Times New Roman" w:cs="Times New Roman"/>
        </w:rPr>
        <w:t xml:space="preserve">, 573-581. </w:t>
      </w:r>
    </w:p>
    <w:p w14:paraId="6F44C3B6"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O’Mahony, T., &amp; Dufour, J. (2015). Tracking development paths: Monitoring driving forces and the impact of carbon-free energy sources in Spain. </w:t>
      </w:r>
      <w:r w:rsidRPr="00B3216C">
        <w:rPr>
          <w:rFonts w:ascii="Times New Roman" w:hAnsi="Times New Roman" w:cs="Times New Roman"/>
          <w:i/>
        </w:rPr>
        <w:t>Environmental Science &amp; Policy</w:t>
      </w:r>
      <w:r w:rsidRPr="00B3216C">
        <w:rPr>
          <w:rFonts w:ascii="Times New Roman" w:hAnsi="Times New Roman" w:cs="Times New Roman"/>
        </w:rPr>
        <w:t>,</w:t>
      </w:r>
      <w:r w:rsidRPr="00B3216C">
        <w:rPr>
          <w:rFonts w:ascii="Times New Roman" w:hAnsi="Times New Roman" w:cs="Times New Roman"/>
          <w:i/>
        </w:rPr>
        <w:t xml:space="preserve"> 50</w:t>
      </w:r>
      <w:r w:rsidRPr="00B3216C">
        <w:rPr>
          <w:rFonts w:ascii="Times New Roman" w:hAnsi="Times New Roman" w:cs="Times New Roman"/>
        </w:rPr>
        <w:t xml:space="preserve">, 62-73. </w:t>
      </w:r>
    </w:p>
    <w:p w14:paraId="11D33BF3"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Ollier, L., Metz, F., Nuñez-Jimenez, A., Späth, L., &amp; Lilliestam, J. (2022). The European 2030 climate and energy package: do domestic strategy adaptations precede EU policy change? </w:t>
      </w:r>
      <w:r w:rsidRPr="00B3216C">
        <w:rPr>
          <w:rFonts w:ascii="Times New Roman" w:hAnsi="Times New Roman" w:cs="Times New Roman"/>
          <w:i/>
        </w:rPr>
        <w:t>Policy Sciences</w:t>
      </w:r>
      <w:r w:rsidRPr="00B3216C">
        <w:rPr>
          <w:rFonts w:ascii="Times New Roman" w:hAnsi="Times New Roman" w:cs="Times New Roman"/>
        </w:rPr>
        <w:t xml:space="preserve">, 1-24. </w:t>
      </w:r>
    </w:p>
    <w:p w14:paraId="724E3AD8"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Pollitt, H. (2011). Assessing the implementation and impact of green elements of Member States’ National Recovery Plans. </w:t>
      </w:r>
      <w:r w:rsidRPr="00B3216C">
        <w:rPr>
          <w:rFonts w:ascii="Times New Roman" w:hAnsi="Times New Roman" w:cs="Times New Roman"/>
          <w:i/>
        </w:rPr>
        <w:t>Final Report for the European Commission (DG Environment).-UK Cambridge Econometrics</w:t>
      </w:r>
      <w:r w:rsidRPr="00B3216C">
        <w:rPr>
          <w:rFonts w:ascii="Times New Roman" w:hAnsi="Times New Roman" w:cs="Times New Roman"/>
        </w:rPr>
        <w:t xml:space="preserve">. </w:t>
      </w:r>
    </w:p>
    <w:p w14:paraId="3547F57E"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Robaina, M., &amp; Neves, A. (2021). Complete decomposition analysis of CO2 emissions intensity in the transport sector in Europe. </w:t>
      </w:r>
      <w:r w:rsidRPr="00B3216C">
        <w:rPr>
          <w:rFonts w:ascii="Times New Roman" w:hAnsi="Times New Roman" w:cs="Times New Roman"/>
          <w:i/>
        </w:rPr>
        <w:t>Research in Transportation Economics</w:t>
      </w:r>
      <w:r w:rsidRPr="00B3216C">
        <w:rPr>
          <w:rFonts w:ascii="Times New Roman" w:hAnsi="Times New Roman" w:cs="Times New Roman"/>
        </w:rPr>
        <w:t>,</w:t>
      </w:r>
      <w:r w:rsidRPr="00B3216C">
        <w:rPr>
          <w:rFonts w:ascii="Times New Roman" w:hAnsi="Times New Roman" w:cs="Times New Roman"/>
          <w:i/>
        </w:rPr>
        <w:t xml:space="preserve"> 90</w:t>
      </w:r>
      <w:r w:rsidRPr="00B3216C">
        <w:rPr>
          <w:rFonts w:ascii="Times New Roman" w:hAnsi="Times New Roman" w:cs="Times New Roman"/>
        </w:rPr>
        <w:t xml:space="preserve">, 101074. </w:t>
      </w:r>
    </w:p>
    <w:p w14:paraId="749A9FC4"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Roinioti, A., &amp; Koroneos, C. (2017). The decomposition of CO2 emissions from energy use in Greece before and during the economic crisis and their decoupling from economic growth. </w:t>
      </w:r>
      <w:r w:rsidRPr="00B3216C">
        <w:rPr>
          <w:rFonts w:ascii="Times New Roman" w:hAnsi="Times New Roman" w:cs="Times New Roman"/>
          <w:i/>
        </w:rPr>
        <w:t>Renewable and Sustainable Energy Reviews</w:t>
      </w:r>
      <w:r w:rsidRPr="00B3216C">
        <w:rPr>
          <w:rFonts w:ascii="Times New Roman" w:hAnsi="Times New Roman" w:cs="Times New Roman"/>
        </w:rPr>
        <w:t>,</w:t>
      </w:r>
      <w:r w:rsidRPr="00B3216C">
        <w:rPr>
          <w:rFonts w:ascii="Times New Roman" w:hAnsi="Times New Roman" w:cs="Times New Roman"/>
          <w:i/>
        </w:rPr>
        <w:t xml:space="preserve"> 76</w:t>
      </w:r>
      <w:r w:rsidRPr="00B3216C">
        <w:rPr>
          <w:rFonts w:ascii="Times New Roman" w:hAnsi="Times New Roman" w:cs="Times New Roman"/>
        </w:rPr>
        <w:t xml:space="preserve">, 448-459. </w:t>
      </w:r>
    </w:p>
    <w:p w14:paraId="165124F7"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Shammugam, S., Schleich, J., Schlomann, B., &amp; Montrone, L. (2022). Did Germany reach its 2020 climate targets thanks to the COVID-19 pandemic? </w:t>
      </w:r>
      <w:r w:rsidRPr="00B3216C">
        <w:rPr>
          <w:rFonts w:ascii="Times New Roman" w:hAnsi="Times New Roman" w:cs="Times New Roman"/>
          <w:i/>
        </w:rPr>
        <w:t>Climate Policy</w:t>
      </w:r>
      <w:r w:rsidRPr="00B3216C">
        <w:rPr>
          <w:rFonts w:ascii="Times New Roman" w:hAnsi="Times New Roman" w:cs="Times New Roman"/>
        </w:rPr>
        <w:t xml:space="preserve">, 1-15. </w:t>
      </w:r>
    </w:p>
    <w:p w14:paraId="26A47498"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Skovgaard, J. (2014). EU climate policy after the crisis. </w:t>
      </w:r>
      <w:r w:rsidRPr="00B3216C">
        <w:rPr>
          <w:rFonts w:ascii="Times New Roman" w:hAnsi="Times New Roman" w:cs="Times New Roman"/>
          <w:i/>
        </w:rPr>
        <w:t>Environmental Politics</w:t>
      </w:r>
      <w:r w:rsidRPr="00B3216C">
        <w:rPr>
          <w:rFonts w:ascii="Times New Roman" w:hAnsi="Times New Roman" w:cs="Times New Roman"/>
        </w:rPr>
        <w:t>,</w:t>
      </w:r>
      <w:r w:rsidRPr="00B3216C">
        <w:rPr>
          <w:rFonts w:ascii="Times New Roman" w:hAnsi="Times New Roman" w:cs="Times New Roman"/>
          <w:i/>
        </w:rPr>
        <w:t xml:space="preserve"> 23</w:t>
      </w:r>
      <w:r w:rsidRPr="00B3216C">
        <w:rPr>
          <w:rFonts w:ascii="Times New Roman" w:hAnsi="Times New Roman" w:cs="Times New Roman"/>
        </w:rPr>
        <w:t xml:space="preserve">(1), 1-17. </w:t>
      </w:r>
    </w:p>
    <w:p w14:paraId="0C14545C"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Slominski, P. (2016). Energy and climate policy: does the competitiveness narrative prevail in times of crisis? </w:t>
      </w:r>
      <w:r w:rsidRPr="00B3216C">
        <w:rPr>
          <w:rFonts w:ascii="Times New Roman" w:hAnsi="Times New Roman" w:cs="Times New Roman"/>
          <w:i/>
        </w:rPr>
        <w:t>Journal of European Integration</w:t>
      </w:r>
      <w:r w:rsidRPr="00B3216C">
        <w:rPr>
          <w:rFonts w:ascii="Times New Roman" w:hAnsi="Times New Roman" w:cs="Times New Roman"/>
        </w:rPr>
        <w:t>,</w:t>
      </w:r>
      <w:r w:rsidRPr="00B3216C">
        <w:rPr>
          <w:rFonts w:ascii="Times New Roman" w:hAnsi="Times New Roman" w:cs="Times New Roman"/>
          <w:i/>
        </w:rPr>
        <w:t xml:space="preserve"> 38</w:t>
      </w:r>
      <w:r w:rsidRPr="00B3216C">
        <w:rPr>
          <w:rFonts w:ascii="Times New Roman" w:hAnsi="Times New Roman" w:cs="Times New Roman"/>
        </w:rPr>
        <w:t xml:space="preserve">(3), 343-357. </w:t>
      </w:r>
    </w:p>
    <w:p w14:paraId="6C7099EA"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Sobrino, N., &amp; Monzon, A. (2014). The impact of the economic crisis and policy actions on GHG emissions from road transport in Spain. </w:t>
      </w:r>
      <w:r w:rsidRPr="00B3216C">
        <w:rPr>
          <w:rFonts w:ascii="Times New Roman" w:hAnsi="Times New Roman" w:cs="Times New Roman"/>
          <w:i/>
        </w:rPr>
        <w:t>Energy Policy</w:t>
      </w:r>
      <w:r w:rsidRPr="00B3216C">
        <w:rPr>
          <w:rFonts w:ascii="Times New Roman" w:hAnsi="Times New Roman" w:cs="Times New Roman"/>
        </w:rPr>
        <w:t>,</w:t>
      </w:r>
      <w:r w:rsidRPr="00B3216C">
        <w:rPr>
          <w:rFonts w:ascii="Times New Roman" w:hAnsi="Times New Roman" w:cs="Times New Roman"/>
          <w:i/>
        </w:rPr>
        <w:t xml:space="preserve"> 74</w:t>
      </w:r>
      <w:r w:rsidRPr="00B3216C">
        <w:rPr>
          <w:rFonts w:ascii="Times New Roman" w:hAnsi="Times New Roman" w:cs="Times New Roman"/>
        </w:rPr>
        <w:t xml:space="preserve">, 486-498. </w:t>
      </w:r>
    </w:p>
    <w:p w14:paraId="3D679577"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Solorio, I. (2016). Spanish climate change policy in a changing landscape. In </w:t>
      </w:r>
      <w:r w:rsidRPr="00B3216C">
        <w:rPr>
          <w:rFonts w:ascii="Times New Roman" w:hAnsi="Times New Roman" w:cs="Times New Roman"/>
          <w:i/>
        </w:rPr>
        <w:t>The European Union in International Climate Change Politics</w:t>
      </w:r>
      <w:r w:rsidRPr="00B3216C">
        <w:rPr>
          <w:rFonts w:ascii="Times New Roman" w:hAnsi="Times New Roman" w:cs="Times New Roman"/>
        </w:rPr>
        <w:t xml:space="preserve"> (pp. 183-196). Routledge. </w:t>
      </w:r>
    </w:p>
    <w:p w14:paraId="5EF403A8" w14:textId="77777777" w:rsidR="003516CC" w:rsidRPr="00B3216C" w:rsidRDefault="003516CC" w:rsidP="003516CC">
      <w:pPr>
        <w:pStyle w:val="EndNoteBibliography"/>
        <w:spacing w:after="0"/>
        <w:ind w:left="720" w:hanging="720"/>
        <w:rPr>
          <w:rFonts w:ascii="Times New Roman" w:hAnsi="Times New Roman" w:cs="Times New Roman"/>
        </w:rPr>
      </w:pPr>
      <w:r w:rsidRPr="00B3216C">
        <w:rPr>
          <w:rFonts w:ascii="Times New Roman" w:hAnsi="Times New Roman" w:cs="Times New Roman"/>
        </w:rPr>
        <w:t xml:space="preserve">Solorio, I., &amp; Fernandez, R. (2017). Spain and renewable energy promotion: Europeanization upside down. In </w:t>
      </w:r>
      <w:r w:rsidRPr="00B3216C">
        <w:rPr>
          <w:rFonts w:ascii="Times New Roman" w:hAnsi="Times New Roman" w:cs="Times New Roman"/>
          <w:i/>
        </w:rPr>
        <w:t>A Guide to EU Renewable Energy Policy</w:t>
      </w:r>
      <w:r w:rsidRPr="00B3216C">
        <w:rPr>
          <w:rFonts w:ascii="Times New Roman" w:hAnsi="Times New Roman" w:cs="Times New Roman"/>
        </w:rPr>
        <w:t xml:space="preserve">. Edward Elgar Publishing. </w:t>
      </w:r>
    </w:p>
    <w:p w14:paraId="25D3213C" w14:textId="7735AB0B" w:rsidR="00D8194D" w:rsidRPr="00B3216C" w:rsidRDefault="003516CC" w:rsidP="00762F83">
      <w:pPr>
        <w:pStyle w:val="EndNoteBibliography"/>
        <w:ind w:left="720" w:hanging="720"/>
        <w:rPr>
          <w:rFonts w:ascii="Times New Roman" w:hAnsi="Times New Roman" w:cs="Times New Roman"/>
          <w:lang w:val="en-GB"/>
        </w:rPr>
      </w:pPr>
      <w:r w:rsidRPr="00B3216C">
        <w:rPr>
          <w:rFonts w:ascii="Times New Roman" w:hAnsi="Times New Roman" w:cs="Times New Roman"/>
        </w:rPr>
        <w:t xml:space="preserve">Tapio, P., Banister, D., Luukkanen, J., Vehmas, J., &amp; Willamo, R. (2007). Energy and transport in comparison: Immaterialisation, dematerialisation and decarbonisation in the EU15 between 1970 and 2000. </w:t>
      </w:r>
      <w:r w:rsidRPr="00B3216C">
        <w:rPr>
          <w:rFonts w:ascii="Times New Roman" w:hAnsi="Times New Roman" w:cs="Times New Roman"/>
          <w:i/>
        </w:rPr>
        <w:t>Energy Policy</w:t>
      </w:r>
      <w:r w:rsidRPr="00B3216C">
        <w:rPr>
          <w:rFonts w:ascii="Times New Roman" w:hAnsi="Times New Roman" w:cs="Times New Roman"/>
        </w:rPr>
        <w:t>,</w:t>
      </w:r>
      <w:r w:rsidRPr="00B3216C">
        <w:rPr>
          <w:rFonts w:ascii="Times New Roman" w:hAnsi="Times New Roman" w:cs="Times New Roman"/>
          <w:i/>
        </w:rPr>
        <w:t xml:space="preserve"> 35</w:t>
      </w:r>
      <w:r w:rsidRPr="00B3216C">
        <w:rPr>
          <w:rFonts w:ascii="Times New Roman" w:hAnsi="Times New Roman" w:cs="Times New Roman"/>
        </w:rPr>
        <w:t xml:space="preserve">(1), 433-451. </w:t>
      </w:r>
      <w:r w:rsidR="006F4619" w:rsidRPr="00B3216C">
        <w:rPr>
          <w:rFonts w:ascii="Times New Roman" w:hAnsi="Times New Roman" w:cs="Times New Roman"/>
          <w:lang w:val="en-GB"/>
        </w:rPr>
        <w:fldChar w:fldCharType="end"/>
      </w:r>
    </w:p>
    <w:sectPr w:rsidR="00D8194D" w:rsidRPr="00B3216C" w:rsidSect="0023571A">
      <w:pgSz w:w="11906" w:h="16838"/>
      <w:pgMar w:top="1418"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605641" w14:textId="77777777" w:rsidR="00010AD3" w:rsidRDefault="00010AD3" w:rsidP="00010AD3">
      <w:pPr>
        <w:spacing w:after="0" w:line="240" w:lineRule="auto"/>
      </w:pPr>
      <w:r>
        <w:separator/>
      </w:r>
    </w:p>
  </w:endnote>
  <w:endnote w:type="continuationSeparator" w:id="0">
    <w:p w14:paraId="257D680C" w14:textId="77777777" w:rsidR="00010AD3" w:rsidRDefault="00010AD3" w:rsidP="00010A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swiss"/>
    <w:notTrueType/>
    <w:pitch w:val="default"/>
    <w:sig w:usb0="00000003" w:usb1="09060000" w:usb2="00000010" w:usb3="00000000" w:csb0="00080001" w:csb1="00000000"/>
  </w:font>
  <w:font w:name="MyriadPro-Regular">
    <w:altName w:val="Calibri"/>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599554" w14:textId="77777777" w:rsidR="00010AD3" w:rsidRDefault="00010AD3" w:rsidP="00010AD3">
      <w:pPr>
        <w:spacing w:after="0" w:line="240" w:lineRule="auto"/>
      </w:pPr>
      <w:r>
        <w:separator/>
      </w:r>
    </w:p>
  </w:footnote>
  <w:footnote w:type="continuationSeparator" w:id="0">
    <w:p w14:paraId="32EC16EA" w14:textId="77777777" w:rsidR="00010AD3" w:rsidRDefault="00010AD3" w:rsidP="00010A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C73021"/>
    <w:multiLevelType w:val="multilevel"/>
    <w:tmpl w:val="36221DEA"/>
    <w:lvl w:ilvl="0">
      <w:start w:val="2"/>
      <w:numFmt w:val="decimal"/>
      <w:lvlText w:val="%1"/>
      <w:lvlJc w:val="left"/>
      <w:pPr>
        <w:ind w:left="360" w:hanging="360"/>
      </w:pPr>
      <w:rPr>
        <w:rFonts w:hint="default"/>
        <w:b w:val="0"/>
        <w:sz w:val="22"/>
      </w:rPr>
    </w:lvl>
    <w:lvl w:ilvl="1">
      <w:start w:val="2"/>
      <w:numFmt w:val="decimal"/>
      <w:lvlText w:val="%1.%2"/>
      <w:lvlJc w:val="left"/>
      <w:pPr>
        <w:ind w:left="360" w:hanging="360"/>
      </w:pPr>
      <w:rPr>
        <w:rFonts w:hint="default"/>
        <w:b w:val="0"/>
        <w:sz w:val="22"/>
      </w:rPr>
    </w:lvl>
    <w:lvl w:ilvl="2">
      <w:start w:val="1"/>
      <w:numFmt w:val="decimal"/>
      <w:lvlText w:val="%1.%2.%3"/>
      <w:lvlJc w:val="left"/>
      <w:pPr>
        <w:ind w:left="720" w:hanging="720"/>
      </w:pPr>
      <w:rPr>
        <w:rFonts w:hint="default"/>
        <w:b w:val="0"/>
        <w:sz w:val="22"/>
      </w:rPr>
    </w:lvl>
    <w:lvl w:ilvl="3">
      <w:start w:val="1"/>
      <w:numFmt w:val="decimal"/>
      <w:lvlText w:val="%1.%2.%3.%4"/>
      <w:lvlJc w:val="left"/>
      <w:pPr>
        <w:ind w:left="720" w:hanging="720"/>
      </w:pPr>
      <w:rPr>
        <w:rFonts w:hint="default"/>
        <w:b w:val="0"/>
        <w:sz w:val="22"/>
      </w:rPr>
    </w:lvl>
    <w:lvl w:ilvl="4">
      <w:start w:val="1"/>
      <w:numFmt w:val="decimal"/>
      <w:lvlText w:val="%1.%2.%3.%4.%5"/>
      <w:lvlJc w:val="left"/>
      <w:pPr>
        <w:ind w:left="1080" w:hanging="1080"/>
      </w:pPr>
      <w:rPr>
        <w:rFonts w:hint="default"/>
        <w:b w:val="0"/>
        <w:sz w:val="22"/>
      </w:rPr>
    </w:lvl>
    <w:lvl w:ilvl="5">
      <w:start w:val="1"/>
      <w:numFmt w:val="decimal"/>
      <w:lvlText w:val="%1.%2.%3.%4.%5.%6"/>
      <w:lvlJc w:val="left"/>
      <w:pPr>
        <w:ind w:left="1080" w:hanging="1080"/>
      </w:pPr>
      <w:rPr>
        <w:rFonts w:hint="default"/>
        <w:b w:val="0"/>
        <w:sz w:val="22"/>
      </w:rPr>
    </w:lvl>
    <w:lvl w:ilvl="6">
      <w:start w:val="1"/>
      <w:numFmt w:val="decimal"/>
      <w:lvlText w:val="%1.%2.%3.%4.%5.%6.%7"/>
      <w:lvlJc w:val="left"/>
      <w:pPr>
        <w:ind w:left="1440" w:hanging="1440"/>
      </w:pPr>
      <w:rPr>
        <w:rFonts w:hint="default"/>
        <w:b w:val="0"/>
        <w:sz w:val="22"/>
      </w:rPr>
    </w:lvl>
    <w:lvl w:ilvl="7">
      <w:start w:val="1"/>
      <w:numFmt w:val="decimal"/>
      <w:lvlText w:val="%1.%2.%3.%4.%5.%6.%7.%8"/>
      <w:lvlJc w:val="left"/>
      <w:pPr>
        <w:ind w:left="1440" w:hanging="1440"/>
      </w:pPr>
      <w:rPr>
        <w:rFonts w:hint="default"/>
        <w:b w:val="0"/>
        <w:sz w:val="22"/>
      </w:rPr>
    </w:lvl>
    <w:lvl w:ilvl="8">
      <w:start w:val="1"/>
      <w:numFmt w:val="decimal"/>
      <w:lvlText w:val="%1.%2.%3.%4.%5.%6.%7.%8.%9"/>
      <w:lvlJc w:val="left"/>
      <w:pPr>
        <w:ind w:left="1800" w:hanging="1800"/>
      </w:pPr>
      <w:rPr>
        <w:rFonts w:hint="default"/>
        <w:b w:val="0"/>
        <w:sz w:val="22"/>
      </w:rPr>
    </w:lvl>
  </w:abstractNum>
  <w:abstractNum w:abstractNumId="1" w15:restartNumberingAfterBreak="0">
    <w:nsid w:val="7BD57E15"/>
    <w:multiLevelType w:val="hybridMultilevel"/>
    <w:tmpl w:val="6DD62CEA"/>
    <w:lvl w:ilvl="0" w:tplc="941A113C">
      <w:start w:val="1"/>
      <w:numFmt w:val="decimal"/>
      <w:lvlText w:val="%1."/>
      <w:lvlJc w:val="left"/>
      <w:pPr>
        <w:ind w:left="720" w:hanging="360"/>
      </w:pPr>
      <w:rPr>
        <w:rFonts w:ascii="Times New Roman" w:hAnsi="Times New Roman" w:cs="Times New Roman" w:hint="default"/>
        <w:b/>
        <w:sz w:val="24"/>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326792538">
    <w:abstractNumId w:val="0"/>
  </w:num>
  <w:num w:numId="2" w16cid:durableId="2682473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ap5wezzop9xpwe0awepz55lfafptea5pr2w&quot;&gt;My EndNote Library-06.07.2022&lt;record-ids&gt;&lt;item&gt;188&lt;/item&gt;&lt;item&gt;189&lt;/item&gt;&lt;item&gt;196&lt;/item&gt;&lt;item&gt;198&lt;/item&gt;&lt;item&gt;201&lt;/item&gt;&lt;item&gt;207&lt;/item&gt;&lt;item&gt;213&lt;/item&gt;&lt;item&gt;240&lt;/item&gt;&lt;item&gt;243&lt;/item&gt;&lt;item&gt;275&lt;/item&gt;&lt;item&gt;295&lt;/item&gt;&lt;item&gt;765&lt;/item&gt;&lt;item&gt;794&lt;/item&gt;&lt;item&gt;795&lt;/item&gt;&lt;item&gt;797&lt;/item&gt;&lt;item&gt;799&lt;/item&gt;&lt;item&gt;800&lt;/item&gt;&lt;item&gt;801&lt;/item&gt;&lt;item&gt;802&lt;/item&gt;&lt;item&gt;805&lt;/item&gt;&lt;item&gt;806&lt;/item&gt;&lt;item&gt;808&lt;/item&gt;&lt;item&gt;809&lt;/item&gt;&lt;item&gt;810&lt;/item&gt;&lt;item&gt;811&lt;/item&gt;&lt;item&gt;814&lt;/item&gt;&lt;item&gt;821&lt;/item&gt;&lt;item&gt;825&lt;/item&gt;&lt;item&gt;826&lt;/item&gt;&lt;item&gt;829&lt;/item&gt;&lt;item&gt;835&lt;/item&gt;&lt;item&gt;849&lt;/item&gt;&lt;item&gt;851&lt;/item&gt;&lt;item&gt;867&lt;/item&gt;&lt;item&gt;868&lt;/item&gt;&lt;item&gt;871&lt;/item&gt;&lt;item&gt;872&lt;/item&gt;&lt;item&gt;875&lt;/item&gt;&lt;item&gt;876&lt;/item&gt;&lt;item&gt;879&lt;/item&gt;&lt;item&gt;884&lt;/item&gt;&lt;item&gt;913&lt;/item&gt;&lt;item&gt;914&lt;/item&gt;&lt;item&gt;1078&lt;/item&gt;&lt;/record-ids&gt;&lt;/item&gt;&lt;/Libraries&gt;"/>
  </w:docVars>
  <w:rsids>
    <w:rsidRoot w:val="005504C2"/>
    <w:rsid w:val="00010AD3"/>
    <w:rsid w:val="000128A3"/>
    <w:rsid w:val="00027592"/>
    <w:rsid w:val="000438AD"/>
    <w:rsid w:val="00094D9B"/>
    <w:rsid w:val="00097A26"/>
    <w:rsid w:val="000C4F88"/>
    <w:rsid w:val="000D04EF"/>
    <w:rsid w:val="00121044"/>
    <w:rsid w:val="00125B44"/>
    <w:rsid w:val="001540C2"/>
    <w:rsid w:val="00157F1A"/>
    <w:rsid w:val="001A6384"/>
    <w:rsid w:val="001B7327"/>
    <w:rsid w:val="00210D4E"/>
    <w:rsid w:val="0023571A"/>
    <w:rsid w:val="00265ECB"/>
    <w:rsid w:val="0027319E"/>
    <w:rsid w:val="0028474D"/>
    <w:rsid w:val="002959FA"/>
    <w:rsid w:val="002A3528"/>
    <w:rsid w:val="002B3EFA"/>
    <w:rsid w:val="002C1963"/>
    <w:rsid w:val="002F4860"/>
    <w:rsid w:val="00310174"/>
    <w:rsid w:val="003516CC"/>
    <w:rsid w:val="003C18AE"/>
    <w:rsid w:val="00426D53"/>
    <w:rsid w:val="00451AC5"/>
    <w:rsid w:val="004B2F49"/>
    <w:rsid w:val="004B3779"/>
    <w:rsid w:val="00526FD5"/>
    <w:rsid w:val="005504C2"/>
    <w:rsid w:val="0055202D"/>
    <w:rsid w:val="0058161D"/>
    <w:rsid w:val="00695DFE"/>
    <w:rsid w:val="006C215B"/>
    <w:rsid w:val="006F4619"/>
    <w:rsid w:val="00762F83"/>
    <w:rsid w:val="007858D4"/>
    <w:rsid w:val="00785E99"/>
    <w:rsid w:val="00787AA0"/>
    <w:rsid w:val="00801AB2"/>
    <w:rsid w:val="00864CC8"/>
    <w:rsid w:val="00934004"/>
    <w:rsid w:val="0094480F"/>
    <w:rsid w:val="00981D68"/>
    <w:rsid w:val="00A72CA4"/>
    <w:rsid w:val="00AB2E28"/>
    <w:rsid w:val="00AB33FF"/>
    <w:rsid w:val="00AB3E8B"/>
    <w:rsid w:val="00AE5DDA"/>
    <w:rsid w:val="00B3216C"/>
    <w:rsid w:val="00B37BAE"/>
    <w:rsid w:val="00BD0BCF"/>
    <w:rsid w:val="00BE6115"/>
    <w:rsid w:val="00BF2E7E"/>
    <w:rsid w:val="00C1521F"/>
    <w:rsid w:val="00C456A6"/>
    <w:rsid w:val="00C50DB4"/>
    <w:rsid w:val="00CA6ACB"/>
    <w:rsid w:val="00CF09BC"/>
    <w:rsid w:val="00D13DCC"/>
    <w:rsid w:val="00D14861"/>
    <w:rsid w:val="00D22D3F"/>
    <w:rsid w:val="00D34B1B"/>
    <w:rsid w:val="00D8194D"/>
    <w:rsid w:val="00DE5C04"/>
    <w:rsid w:val="00F1299C"/>
    <w:rsid w:val="00F45BCA"/>
    <w:rsid w:val="00F65E05"/>
    <w:rsid w:val="00FA456A"/>
    <w:rsid w:val="00FB58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EF85BB7"/>
  <w15:chartTrackingRefBased/>
  <w15:docId w15:val="{57FCF71A-86A9-48B1-8DF2-E61A5CD53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04C2"/>
  </w:style>
  <w:style w:type="paragraph" w:styleId="Heading1">
    <w:name w:val="heading 1"/>
    <w:basedOn w:val="Normal"/>
    <w:next w:val="Normal"/>
    <w:link w:val="Heading1Char"/>
    <w:uiPriority w:val="9"/>
    <w:qFormat/>
    <w:rsid w:val="00097A2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504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5504C2"/>
    <w:pPr>
      <w:spacing w:after="200" w:line="240" w:lineRule="auto"/>
    </w:pPr>
    <w:rPr>
      <w:i/>
      <w:iCs/>
      <w:color w:val="44546A" w:themeColor="text2"/>
      <w:sz w:val="18"/>
      <w:szCs w:val="18"/>
    </w:rPr>
  </w:style>
  <w:style w:type="paragraph" w:customStyle="1" w:styleId="EndNoteBibliographyTitle">
    <w:name w:val="EndNote Bibliography Title"/>
    <w:basedOn w:val="Normal"/>
    <w:link w:val="EndNoteBibliographyTitleChar"/>
    <w:rsid w:val="006F4619"/>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6F4619"/>
    <w:rPr>
      <w:rFonts w:ascii="Calibri" w:hAnsi="Calibri" w:cs="Calibri"/>
      <w:noProof/>
      <w:lang w:val="en-US"/>
    </w:rPr>
  </w:style>
  <w:style w:type="paragraph" w:customStyle="1" w:styleId="EndNoteBibliography">
    <w:name w:val="EndNote Bibliography"/>
    <w:basedOn w:val="Normal"/>
    <w:link w:val="EndNoteBibliographyChar"/>
    <w:rsid w:val="006F4619"/>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6F4619"/>
    <w:rPr>
      <w:rFonts w:ascii="Calibri" w:hAnsi="Calibri" w:cs="Calibri"/>
      <w:noProof/>
      <w:lang w:val="en-US"/>
    </w:rPr>
  </w:style>
  <w:style w:type="paragraph" w:styleId="ListParagraph">
    <w:name w:val="List Paragraph"/>
    <w:basedOn w:val="Normal"/>
    <w:uiPriority w:val="34"/>
    <w:qFormat/>
    <w:rsid w:val="00FB58CB"/>
    <w:pPr>
      <w:ind w:left="720"/>
      <w:contextualSpacing/>
    </w:pPr>
  </w:style>
  <w:style w:type="character" w:customStyle="1" w:styleId="Heading1Char">
    <w:name w:val="Heading 1 Char"/>
    <w:basedOn w:val="DefaultParagraphFont"/>
    <w:link w:val="Heading1"/>
    <w:uiPriority w:val="9"/>
    <w:rsid w:val="00097A26"/>
    <w:rPr>
      <w:rFonts w:asciiTheme="majorHAnsi" w:eastAsiaTheme="majorEastAsia" w:hAnsiTheme="majorHAnsi" w:cstheme="majorBidi"/>
      <w:color w:val="2F5496" w:themeColor="accent1" w:themeShade="BF"/>
      <w:sz w:val="32"/>
      <w:szCs w:val="32"/>
    </w:rPr>
  </w:style>
  <w:style w:type="paragraph" w:styleId="FootnoteText">
    <w:name w:val="footnote text"/>
    <w:basedOn w:val="Normal"/>
    <w:link w:val="FootnoteTextChar"/>
    <w:uiPriority w:val="99"/>
    <w:semiHidden/>
    <w:unhideWhenUsed/>
    <w:rsid w:val="00010AD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10AD3"/>
    <w:rPr>
      <w:sz w:val="20"/>
      <w:szCs w:val="20"/>
    </w:rPr>
  </w:style>
  <w:style w:type="character" w:styleId="FootnoteReference">
    <w:name w:val="footnote reference"/>
    <w:basedOn w:val="DefaultParagraphFont"/>
    <w:uiPriority w:val="99"/>
    <w:semiHidden/>
    <w:unhideWhenUsed/>
    <w:rsid w:val="00010AD3"/>
    <w:rPr>
      <w:vertAlign w:val="superscript"/>
    </w:rPr>
  </w:style>
  <w:style w:type="character" w:styleId="Hyperlink">
    <w:name w:val="Hyperlink"/>
    <w:basedOn w:val="DefaultParagraphFont"/>
    <w:uiPriority w:val="99"/>
    <w:unhideWhenUsed/>
    <w:rsid w:val="00F65E05"/>
    <w:rPr>
      <w:color w:val="0563C1" w:themeColor="hyperlink"/>
      <w:u w:val="single"/>
    </w:rPr>
  </w:style>
  <w:style w:type="character" w:styleId="UnresolvedMention">
    <w:name w:val="Unresolved Mention"/>
    <w:basedOn w:val="DefaultParagraphFont"/>
    <w:uiPriority w:val="99"/>
    <w:semiHidden/>
    <w:unhideWhenUsed/>
    <w:rsid w:val="00F65E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065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nergyinst.org/statistical-review"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iea.org/commentaries/europe-s-energy-crisis-what-factors-drove-the-record-fall-in-natural-gas-demand-in-2022" TargetMode="External"/><Relationship Id="rId4" Type="http://schemas.openxmlformats.org/officeDocument/2006/relationships/settings" Target="settings.xml"/><Relationship Id="rId9" Type="http://schemas.openxmlformats.org/officeDocument/2006/relationships/hyperlink" Target="https://doi.org/https://ec.europa.eu/eurostat/web/main/data/database"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7C0EBC-173C-4541-838C-2E2B1D084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11451</Words>
  <Characters>72143</Characters>
  <Application>Microsoft Office Word</Application>
  <DocSecurity>0</DocSecurity>
  <Lines>601</Lines>
  <Paragraphs>166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Germán Bersalli</dc:creator>
  <cp:keywords/>
  <dc:description/>
  <cp:lastModifiedBy>Germán Bersalli</cp:lastModifiedBy>
  <cp:revision>43</cp:revision>
  <dcterms:created xsi:type="dcterms:W3CDTF">2023-08-02T13:58:00Z</dcterms:created>
  <dcterms:modified xsi:type="dcterms:W3CDTF">2023-11-27T18:25:00Z</dcterms:modified>
</cp:coreProperties>
</file>