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97FC0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  <w:bookmarkStart w:id="0" w:name="_heading=h.gjdgxs" w:colFirst="0" w:colLast="0"/>
      <w:bookmarkEnd w:id="0"/>
    </w:p>
    <w:p w14:paraId="7576C25C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680B4CEA" w14:textId="77777777" w:rsidR="008B5C32" w:rsidRPr="00AA720A" w:rsidRDefault="008B5C32">
      <w:pPr>
        <w:jc w:val="center"/>
        <w:rPr>
          <w:b/>
        </w:rPr>
      </w:pPr>
      <w:bookmarkStart w:id="1" w:name="_heading=h.30j0zll" w:colFirst="0" w:colLast="0"/>
      <w:bookmarkEnd w:id="1"/>
    </w:p>
    <w:p w14:paraId="149292D7" w14:textId="77777777" w:rsidR="008B5C32" w:rsidRPr="00AA720A" w:rsidRDefault="00517E91">
      <w:pPr>
        <w:rPr>
          <w:i/>
        </w:rPr>
      </w:pPr>
      <w:r w:rsidRPr="00AA720A">
        <w:rPr>
          <w:i/>
        </w:rPr>
        <w:t>Supplement of</w:t>
      </w:r>
    </w:p>
    <w:p w14:paraId="5617EFD0" w14:textId="77777777" w:rsidR="008B5C32" w:rsidRPr="00AA720A" w:rsidRDefault="008B5C32">
      <w:pPr>
        <w:rPr>
          <w:i/>
        </w:rPr>
      </w:pPr>
    </w:p>
    <w:p w14:paraId="6F57D0C2" w14:textId="77777777" w:rsidR="008B5C32" w:rsidRPr="00AA720A" w:rsidRDefault="00517E91">
      <w:pPr>
        <w:jc w:val="center"/>
      </w:pPr>
      <w:r w:rsidRPr="00AA720A">
        <w:rPr>
          <w:b/>
        </w:rPr>
        <w:t>Investigating Ozone Build-Up in the East of England During the July 2015 Heat Wave</w:t>
      </w:r>
    </w:p>
    <w:p w14:paraId="16F08649" w14:textId="77777777" w:rsidR="008B5C32" w:rsidRPr="00AA720A" w:rsidRDefault="008B5C32"/>
    <w:p w14:paraId="245C4FE6" w14:textId="77777777" w:rsidR="008B5C32" w:rsidRPr="00AA720A" w:rsidRDefault="00517E91">
      <w:pPr>
        <w:rPr>
          <w:b/>
        </w:rPr>
      </w:pPr>
      <w:r w:rsidRPr="00AA720A">
        <w:rPr>
          <w:i/>
        </w:rPr>
        <w:t>Corresponding author:</w:t>
      </w:r>
      <w:r w:rsidRPr="00AA720A">
        <w:t xml:space="preserve"> Johana Romero-Alvarez (lero1992@clorado.edu)</w:t>
      </w:r>
    </w:p>
    <w:p w14:paraId="0471F8EF" w14:textId="77777777" w:rsidR="008B5C32" w:rsidRPr="00AA720A" w:rsidRDefault="008B5C32"/>
    <w:p w14:paraId="23679C27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58DE47E7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62794A8C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622DD0B2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12AC35D4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7399AE79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69C75B74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200C68F4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17231D21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39212F37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491D1B9C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7CB90636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61303DF3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12C588B1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3F19B9FB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59009731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06B517CF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6C5F0DFA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15A82F5A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702D492A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145CB650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360" w:lineRule="auto"/>
        <w:jc w:val="both"/>
      </w:pPr>
    </w:p>
    <w:p w14:paraId="43CADDD3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  <w:r w:rsidRPr="00AA720A">
        <w:rPr>
          <w:b/>
          <w:i/>
        </w:rPr>
        <w:lastRenderedPageBreak/>
        <w:t>S1. Overview of the pollution episode</w:t>
      </w:r>
    </w:p>
    <w:p w14:paraId="58ACBB6C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</w:p>
    <w:p w14:paraId="759EFAEB" w14:textId="77777777" w:rsidR="008B5C32" w:rsidRPr="00AA720A" w:rsidRDefault="00517E91">
      <w:r w:rsidRPr="00AA720A">
        <w:rPr>
          <w:noProof/>
        </w:rPr>
        <w:drawing>
          <wp:inline distT="0" distB="0" distL="0" distR="0" wp14:anchorId="2B080C01" wp14:editId="6EC1413A">
            <wp:extent cx="5943600" cy="5414010"/>
            <wp:effectExtent l="0" t="0" r="0" b="0"/>
            <wp:docPr id="2118510618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41401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F0CFDA8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>Fig. S.1.1.</w:t>
      </w:r>
      <w:r w:rsidRPr="00AA720A">
        <w:t xml:space="preserve"> Time series of a) temperature, b) wind direction, c) relative humidity, d) surface O</w:t>
      </w:r>
      <w:r w:rsidRPr="00AA720A">
        <w:rPr>
          <w:vertAlign w:val="subscript"/>
        </w:rPr>
        <w:t>3</w:t>
      </w:r>
      <w:r w:rsidRPr="00AA720A">
        <w:t>, e) CO, and NOx (f) NO and g) NO</w:t>
      </w:r>
      <w:r w:rsidRPr="00AA720A">
        <w:rPr>
          <w:vertAlign w:val="subscript"/>
        </w:rPr>
        <w:t>2</w:t>
      </w:r>
      <w:r w:rsidRPr="00AA720A">
        <w:t xml:space="preserve">) measured at Weybourne during the ICOZA field campaign. The pollution event is highlighted in grey. </w:t>
      </w:r>
    </w:p>
    <w:p w14:paraId="606C12A3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</w:rPr>
      </w:pPr>
    </w:p>
    <w:p w14:paraId="2D13D3C1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</w:p>
    <w:p w14:paraId="6CAF531A" w14:textId="77777777" w:rsidR="008B5C32" w:rsidRPr="00AA720A" w:rsidRDefault="00517E91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  <w:r w:rsidRPr="00AA720A">
        <w:rPr>
          <w:noProof/>
        </w:rPr>
        <w:lastRenderedPageBreak/>
        <w:drawing>
          <wp:inline distT="0" distB="3175" distL="0" distR="1905" wp14:anchorId="06F03720" wp14:editId="487F6D36">
            <wp:extent cx="5351528" cy="5407812"/>
            <wp:effectExtent l="0" t="0" r="0" b="0"/>
            <wp:docPr id="2118510620" name="image1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8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51528" cy="540781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D13EAEF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</w:rPr>
      </w:pPr>
      <w:r w:rsidRPr="00AA720A">
        <w:rPr>
          <w:b/>
        </w:rPr>
        <w:t xml:space="preserve">Fig. S.1.2. </w:t>
      </w:r>
      <w:r w:rsidRPr="00AA720A">
        <w:t>Surface pressure charts from the UK Met Office at 00:00 UTC for (a) Jun</w:t>
      </w:r>
      <w:r w:rsidR="003064EE" w:rsidRPr="00AA720A">
        <w:t>e 30</w:t>
      </w:r>
      <w:r w:rsidR="003064EE" w:rsidRPr="00AA720A">
        <w:rPr>
          <w:vertAlign w:val="superscript"/>
        </w:rPr>
        <w:t>th</w:t>
      </w:r>
      <w:r w:rsidRPr="00AA720A">
        <w:t>, (b) Jul</w:t>
      </w:r>
      <w:r w:rsidR="003064EE" w:rsidRPr="00AA720A">
        <w:t>y 1</w:t>
      </w:r>
      <w:r w:rsidR="003064EE" w:rsidRPr="00AA720A">
        <w:rPr>
          <w:vertAlign w:val="superscript"/>
        </w:rPr>
        <w:t>st</w:t>
      </w:r>
      <w:r w:rsidRPr="00AA720A">
        <w:t>, (c) Jul</w:t>
      </w:r>
      <w:r w:rsidR="003064EE" w:rsidRPr="00AA720A">
        <w:t>y 2</w:t>
      </w:r>
      <w:r w:rsidR="003064EE" w:rsidRPr="00AA720A">
        <w:rPr>
          <w:vertAlign w:val="superscript"/>
        </w:rPr>
        <w:t>nd</w:t>
      </w:r>
      <w:r w:rsidRPr="00AA720A">
        <w:t>, and (d) Jul</w:t>
      </w:r>
      <w:r w:rsidR="003064EE" w:rsidRPr="00AA720A">
        <w:t>y 3</w:t>
      </w:r>
      <w:r w:rsidR="003064EE" w:rsidRPr="00AA720A">
        <w:rPr>
          <w:vertAlign w:val="superscript"/>
        </w:rPr>
        <w:t>rd</w:t>
      </w:r>
      <w:r w:rsidRPr="00AA720A">
        <w:t>. Modified from the UK Met Office.</w:t>
      </w:r>
    </w:p>
    <w:p w14:paraId="20288840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</w:rPr>
      </w:pPr>
    </w:p>
    <w:p w14:paraId="4DFFC648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</w:rPr>
      </w:pPr>
    </w:p>
    <w:p w14:paraId="6866997C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</w:rPr>
      </w:pPr>
    </w:p>
    <w:p w14:paraId="431B2860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</w:rPr>
      </w:pPr>
    </w:p>
    <w:p w14:paraId="03E8CE29" w14:textId="77777777" w:rsidR="008B5C32" w:rsidRPr="00AA720A" w:rsidRDefault="00517E91">
      <w:pPr>
        <w:spacing w:line="276" w:lineRule="auto"/>
        <w:jc w:val="both"/>
      </w:pPr>
      <w:r w:rsidRPr="00AA720A">
        <w:rPr>
          <w:noProof/>
        </w:rPr>
        <w:lastRenderedPageBreak/>
        <w:drawing>
          <wp:inline distT="0" distB="0" distL="0" distR="0" wp14:anchorId="5B8D9F5C" wp14:editId="63277818">
            <wp:extent cx="5943600" cy="2212340"/>
            <wp:effectExtent l="0" t="0" r="0" b="0"/>
            <wp:docPr id="2118510622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123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539A1DC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>Fig. S.1.3.</w:t>
      </w:r>
      <w:r w:rsidRPr="00AA720A">
        <w:t xml:space="preserve"> Hourly surface O</w:t>
      </w:r>
      <w:r w:rsidRPr="00AA720A">
        <w:rPr>
          <w:vertAlign w:val="subscript"/>
        </w:rPr>
        <w:t>3</w:t>
      </w:r>
      <w:r w:rsidRPr="00AA720A">
        <w:t xml:space="preserve"> concentrations at stations in the UK and the coast of Netherlands (NET) from June</w:t>
      </w:r>
      <w:r w:rsidR="003064EE" w:rsidRPr="00AA720A">
        <w:t xml:space="preserve"> 29</w:t>
      </w:r>
      <w:r w:rsidR="003064EE" w:rsidRPr="00AA720A">
        <w:rPr>
          <w:vertAlign w:val="superscript"/>
        </w:rPr>
        <w:t>th</w:t>
      </w:r>
      <w:r w:rsidR="003064EE" w:rsidRPr="00AA720A">
        <w:t xml:space="preserve"> </w:t>
      </w:r>
      <w:r w:rsidRPr="00AA720A">
        <w:t xml:space="preserve">to July </w:t>
      </w:r>
      <w:r w:rsidR="003064EE" w:rsidRPr="00AA720A">
        <w:t>31</w:t>
      </w:r>
      <w:r w:rsidR="003064EE" w:rsidRPr="00AA720A">
        <w:rPr>
          <w:vertAlign w:val="superscript"/>
        </w:rPr>
        <w:t>st</w:t>
      </w:r>
      <w:r w:rsidR="003064EE" w:rsidRPr="00AA720A">
        <w:t xml:space="preserve"> </w:t>
      </w:r>
      <w:r w:rsidRPr="00AA720A">
        <w:t>2015.</w:t>
      </w:r>
    </w:p>
    <w:p w14:paraId="5F0339C8" w14:textId="77777777" w:rsidR="008B5C32" w:rsidRPr="00AA720A" w:rsidRDefault="008B5C32">
      <w:pPr>
        <w:spacing w:line="276" w:lineRule="auto"/>
        <w:jc w:val="both"/>
      </w:pPr>
    </w:p>
    <w:p w14:paraId="19CC84BA" w14:textId="77777777" w:rsidR="008B5C32" w:rsidRPr="00AA720A" w:rsidRDefault="008B5C32">
      <w:pPr>
        <w:spacing w:line="276" w:lineRule="auto"/>
        <w:jc w:val="both"/>
      </w:pPr>
    </w:p>
    <w:p w14:paraId="560C8998" w14:textId="77777777" w:rsidR="008B5C32" w:rsidRPr="00AA720A" w:rsidRDefault="00517E91">
      <w:pPr>
        <w:spacing w:line="276" w:lineRule="auto"/>
        <w:jc w:val="both"/>
        <w:rPr>
          <w:b/>
        </w:rPr>
      </w:pPr>
      <w:r w:rsidRPr="00AA720A">
        <w:rPr>
          <w:b/>
          <w:noProof/>
        </w:rPr>
        <w:drawing>
          <wp:inline distT="114300" distB="114300" distL="114300" distR="114300" wp14:anchorId="7C370B3B" wp14:editId="66B6C075">
            <wp:extent cx="6114740" cy="2921000"/>
            <wp:effectExtent l="0" t="0" r="0" b="0"/>
            <wp:docPr id="2118510628" name="image1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9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2921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A0764A3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>Fig. S.1.4.</w:t>
      </w:r>
      <w:r w:rsidRPr="00AA720A">
        <w:t xml:space="preserve"> Comparison of modeled O₃ (light blue) and temperature (T</w:t>
      </w:r>
      <w:r w:rsidR="003064EE" w:rsidRPr="00AA720A">
        <w:t>2</w:t>
      </w:r>
      <w:r w:rsidRPr="00AA720A">
        <w:t>) (light red) distributions on July 1st versus the rest of the campaign for four monitoring stations (</w:t>
      </w:r>
      <w:proofErr w:type="spellStart"/>
      <w:r w:rsidRPr="00AA720A">
        <w:t>Sibton</w:t>
      </w:r>
      <w:proofErr w:type="spellEnd"/>
      <w:r w:rsidRPr="00AA720A">
        <w:t xml:space="preserve">, St </w:t>
      </w:r>
      <w:proofErr w:type="spellStart"/>
      <w:r w:rsidRPr="00AA720A">
        <w:t>Osyth</w:t>
      </w:r>
      <w:proofErr w:type="spellEnd"/>
      <w:r w:rsidRPr="00AA720A">
        <w:t xml:space="preserve">, Weybourne, and </w:t>
      </w:r>
      <w:proofErr w:type="spellStart"/>
      <w:r w:rsidRPr="00AA720A">
        <w:t>Wicken</w:t>
      </w:r>
      <w:proofErr w:type="spellEnd"/>
      <w:r w:rsidRPr="00AA720A">
        <w:t xml:space="preserve"> Fen). Whiskers and boxes represent the 5</w:t>
      </w:r>
      <w:r w:rsidRPr="00AA720A">
        <w:rPr>
          <w:vertAlign w:val="superscript"/>
        </w:rPr>
        <w:t>th</w:t>
      </w:r>
      <w:r w:rsidR="003064EE" w:rsidRPr="00AA720A">
        <w:t xml:space="preserve"> </w:t>
      </w:r>
      <w:r w:rsidRPr="00AA720A">
        <w:t>and 95</w:t>
      </w:r>
      <w:r w:rsidRPr="00AA720A">
        <w:rPr>
          <w:vertAlign w:val="superscript"/>
        </w:rPr>
        <w:t>th</w:t>
      </w:r>
      <w:r w:rsidR="003064EE" w:rsidRPr="00AA720A">
        <w:t xml:space="preserve"> </w:t>
      </w:r>
      <w:r w:rsidRPr="00AA720A">
        <w:t>percentiles and interquartile ranges (IQR, 25</w:t>
      </w:r>
      <w:r w:rsidRPr="00AA720A">
        <w:rPr>
          <w:vertAlign w:val="superscript"/>
        </w:rPr>
        <w:t>th</w:t>
      </w:r>
      <w:r w:rsidR="003064EE" w:rsidRPr="00AA720A">
        <w:t xml:space="preserve"> </w:t>
      </w:r>
      <w:r w:rsidRPr="00AA720A">
        <w:t>to 75</w:t>
      </w:r>
      <w:r w:rsidRPr="00AA720A">
        <w:rPr>
          <w:vertAlign w:val="superscript"/>
        </w:rPr>
        <w:t>th</w:t>
      </w:r>
      <w:r w:rsidR="003064EE" w:rsidRPr="00AA720A">
        <w:t xml:space="preserve"> </w:t>
      </w:r>
      <w:r w:rsidRPr="00AA720A">
        <w:t>percentiles), respectively. Median values are indicated by thick horizontal lines.</w:t>
      </w:r>
    </w:p>
    <w:p w14:paraId="48AC8194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1CF3E5BB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53C0FE0A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2DDEADEF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52C37DAB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30B8ECC7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41605819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28208DB3" w14:textId="77777777" w:rsidR="003064EE" w:rsidRPr="00AA720A" w:rsidRDefault="003064E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03E8E4F9" w14:textId="77777777" w:rsidR="003064EE" w:rsidRPr="00AA720A" w:rsidRDefault="003064E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18A4C8E0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04BAF77F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  <w:r w:rsidRPr="00AA720A">
        <w:rPr>
          <w:b/>
          <w:i/>
        </w:rPr>
        <w:lastRenderedPageBreak/>
        <w:t>S2. Model Evaluation</w:t>
      </w:r>
    </w:p>
    <w:p w14:paraId="13B56682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312A3283" w14:textId="77777777" w:rsidR="008B5C32" w:rsidRPr="00AA720A" w:rsidRDefault="00517E91">
      <w:pPr>
        <w:rPr>
          <w:u w:val="single"/>
        </w:rPr>
      </w:pPr>
      <w:r w:rsidRPr="00AA720A">
        <w:rPr>
          <w:noProof/>
        </w:rPr>
        <w:drawing>
          <wp:inline distT="0" distB="0" distL="0" distR="0" wp14:anchorId="0C02233F" wp14:editId="490EDA17">
            <wp:extent cx="5943600" cy="3975978"/>
            <wp:effectExtent l="0" t="0" r="0" b="0"/>
            <wp:docPr id="2118510621" name="image1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7597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AE0A8A7" w14:textId="77777777" w:rsidR="008B5C32" w:rsidRPr="00AA720A" w:rsidRDefault="00517E91">
      <w:r w:rsidRPr="00AA720A">
        <w:rPr>
          <w:b/>
        </w:rPr>
        <w:t>Fig. S.2.1.</w:t>
      </w:r>
      <w:r w:rsidRPr="00AA720A">
        <w:t xml:space="preserve"> Comparison between observed (red) and modelled (blue) hourly concentrations of NO (a), NO</w:t>
      </w:r>
      <w:r w:rsidRPr="00AA720A">
        <w:rPr>
          <w:vertAlign w:val="subscript"/>
        </w:rPr>
        <w:t xml:space="preserve">2 </w:t>
      </w:r>
      <w:r w:rsidRPr="00AA720A">
        <w:t>(b), NO</w:t>
      </w:r>
      <w:r w:rsidRPr="00AA720A">
        <w:rPr>
          <w:vertAlign w:val="subscript"/>
        </w:rPr>
        <w:t>x</w:t>
      </w:r>
      <w:r w:rsidRPr="00AA720A">
        <w:t xml:space="preserve"> (c), </w:t>
      </w:r>
      <w:proofErr w:type="spellStart"/>
      <w:r w:rsidRPr="00AA720A">
        <w:t>NOy</w:t>
      </w:r>
      <w:proofErr w:type="spellEnd"/>
      <w:r w:rsidRPr="00AA720A">
        <w:t xml:space="preserve"> (d), CO (e), and O</w:t>
      </w:r>
      <w:r w:rsidRPr="00AA720A">
        <w:rPr>
          <w:vertAlign w:val="subscript"/>
        </w:rPr>
        <w:t>3</w:t>
      </w:r>
      <w:r w:rsidRPr="00AA720A">
        <w:t xml:space="preserve"> (f) at WAO </w:t>
      </w:r>
      <w:r w:rsidR="003064EE" w:rsidRPr="00AA720A">
        <w:t>from June 29</w:t>
      </w:r>
      <w:r w:rsidR="003064EE" w:rsidRPr="00AA720A">
        <w:rPr>
          <w:vertAlign w:val="superscript"/>
        </w:rPr>
        <w:t>th</w:t>
      </w:r>
      <w:r w:rsidR="003064EE" w:rsidRPr="00AA720A">
        <w:t xml:space="preserve"> to July 31</w:t>
      </w:r>
      <w:r w:rsidR="003064EE" w:rsidRPr="00AA720A">
        <w:rPr>
          <w:vertAlign w:val="superscript"/>
        </w:rPr>
        <w:t>st</w:t>
      </w:r>
      <w:r w:rsidR="003064EE" w:rsidRPr="00AA720A">
        <w:t xml:space="preserve"> 2015</w:t>
      </w:r>
      <w:r w:rsidRPr="00AA720A">
        <w:t>.</w:t>
      </w:r>
    </w:p>
    <w:p w14:paraId="57B2D912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033E6F8B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</w:p>
    <w:p w14:paraId="0D49DF79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276" w:lineRule="auto"/>
        <w:ind w:firstLine="720"/>
        <w:jc w:val="both"/>
      </w:pPr>
    </w:p>
    <w:p w14:paraId="660ECC5F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276" w:lineRule="auto"/>
        <w:ind w:firstLine="720"/>
        <w:jc w:val="both"/>
      </w:pPr>
    </w:p>
    <w:p w14:paraId="60C337CF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before="100" w:after="100" w:line="276" w:lineRule="auto"/>
        <w:ind w:firstLine="720"/>
        <w:jc w:val="both"/>
      </w:pPr>
      <w:r w:rsidRPr="00AA720A">
        <w:rPr>
          <w:noProof/>
        </w:rPr>
        <w:lastRenderedPageBreak/>
        <w:drawing>
          <wp:inline distT="0" distB="0" distL="0" distR="0" wp14:anchorId="59D172A7" wp14:editId="532869C0">
            <wp:extent cx="5371610" cy="7551492"/>
            <wp:effectExtent l="0" t="0" r="0" b="0"/>
            <wp:docPr id="2118510625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71610" cy="75514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C40F2EA" w14:textId="77777777" w:rsidR="008B5C32" w:rsidRPr="00AA720A" w:rsidRDefault="00517E91">
      <w:r w:rsidRPr="00AA720A">
        <w:rPr>
          <w:b/>
        </w:rPr>
        <w:t>Fig. S.2.2.</w:t>
      </w:r>
      <w:r w:rsidRPr="00AA720A">
        <w:t xml:space="preserve"> Comparison between observed (red) and modelled (blue) diurnal variation of NO (a), NO</w:t>
      </w:r>
      <w:r w:rsidRPr="00AA720A">
        <w:rPr>
          <w:vertAlign w:val="subscript"/>
        </w:rPr>
        <w:t xml:space="preserve">2 </w:t>
      </w:r>
      <w:r w:rsidRPr="00AA720A">
        <w:t>(b), NO</w:t>
      </w:r>
      <w:r w:rsidRPr="00AA720A">
        <w:rPr>
          <w:vertAlign w:val="subscript"/>
        </w:rPr>
        <w:t>x</w:t>
      </w:r>
      <w:r w:rsidRPr="00AA720A">
        <w:t xml:space="preserve"> (c), </w:t>
      </w:r>
      <w:proofErr w:type="spellStart"/>
      <w:r w:rsidRPr="00AA720A">
        <w:t>NO</w:t>
      </w:r>
      <w:r w:rsidRPr="00AA720A">
        <w:rPr>
          <w:vertAlign w:val="subscript"/>
        </w:rPr>
        <w:t>y</w:t>
      </w:r>
      <w:proofErr w:type="spellEnd"/>
      <w:r w:rsidRPr="00AA720A">
        <w:t xml:space="preserve"> (d), CO (e), and O</w:t>
      </w:r>
      <w:r w:rsidRPr="00AA720A">
        <w:rPr>
          <w:vertAlign w:val="subscript"/>
        </w:rPr>
        <w:t>3</w:t>
      </w:r>
      <w:r w:rsidRPr="00AA720A">
        <w:t xml:space="preserve"> (f) at WAO </w:t>
      </w:r>
      <w:r w:rsidR="003064EE" w:rsidRPr="00AA720A">
        <w:t>from June 29</w:t>
      </w:r>
      <w:r w:rsidR="003064EE" w:rsidRPr="00AA720A">
        <w:rPr>
          <w:vertAlign w:val="superscript"/>
        </w:rPr>
        <w:t>th</w:t>
      </w:r>
      <w:r w:rsidR="003064EE" w:rsidRPr="00AA720A">
        <w:t xml:space="preserve"> to July 31</w:t>
      </w:r>
      <w:r w:rsidR="003064EE" w:rsidRPr="00AA720A">
        <w:rPr>
          <w:vertAlign w:val="superscript"/>
        </w:rPr>
        <w:t>st</w:t>
      </w:r>
      <w:r w:rsidR="003064EE" w:rsidRPr="00AA720A">
        <w:t xml:space="preserve"> 2015</w:t>
      </w:r>
      <w:r w:rsidRPr="00AA720A">
        <w:t>.</w:t>
      </w:r>
    </w:p>
    <w:p w14:paraId="22B3D85F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276" w:lineRule="auto"/>
        <w:jc w:val="both"/>
      </w:pPr>
    </w:p>
    <w:p w14:paraId="6880746C" w14:textId="77777777" w:rsidR="003064EE" w:rsidRPr="00AA720A" w:rsidRDefault="003064EE">
      <w:pPr>
        <w:pBdr>
          <w:top w:val="nil"/>
          <w:left w:val="nil"/>
          <w:bottom w:val="nil"/>
          <w:right w:val="nil"/>
          <w:between w:val="nil"/>
        </w:pBdr>
        <w:spacing w:before="100" w:after="100" w:line="276" w:lineRule="auto"/>
        <w:jc w:val="both"/>
      </w:pPr>
    </w:p>
    <w:p w14:paraId="22FF511E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before="100" w:after="100" w:line="276" w:lineRule="auto"/>
        <w:jc w:val="both"/>
      </w:pPr>
    </w:p>
    <w:p w14:paraId="37D7A55F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  <w:r w:rsidRPr="00AA720A">
        <w:rPr>
          <w:b/>
          <w:i/>
        </w:rPr>
        <w:lastRenderedPageBreak/>
        <w:t>S3. O</w:t>
      </w:r>
      <w:r w:rsidRPr="00AA720A">
        <w:rPr>
          <w:b/>
          <w:i/>
          <w:vertAlign w:val="subscript"/>
        </w:rPr>
        <w:t xml:space="preserve">3 </w:t>
      </w:r>
      <w:r w:rsidRPr="00AA720A">
        <w:rPr>
          <w:b/>
          <w:i/>
        </w:rPr>
        <w:t>Source Attribution</w:t>
      </w:r>
    </w:p>
    <w:p w14:paraId="66EFED33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1D6BA681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  <w:r w:rsidRPr="00AA720A">
        <w:rPr>
          <w:b/>
          <w:i/>
          <w:noProof/>
        </w:rPr>
        <w:drawing>
          <wp:inline distT="114300" distB="114300" distL="114300" distR="114300" wp14:anchorId="506DD8F8" wp14:editId="2129835A">
            <wp:extent cx="6114740" cy="4013200"/>
            <wp:effectExtent l="0" t="0" r="0" b="0"/>
            <wp:docPr id="2118510630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4013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5DF68B2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  <w:r w:rsidRPr="00AA720A">
        <w:rPr>
          <w:b/>
        </w:rPr>
        <w:t>Fig. S.3.1.</w:t>
      </w:r>
      <w:r w:rsidRPr="00AA720A">
        <w:t xml:space="preserve"> Daily average contribution (percentages) to surface O</w:t>
      </w:r>
      <w:r w:rsidRPr="00AA720A">
        <w:rPr>
          <w:vertAlign w:val="subscript"/>
        </w:rPr>
        <w:t>3</w:t>
      </w:r>
      <w:r w:rsidRPr="00AA720A">
        <w:t xml:space="preserve"> mixing ratios at four sites in the East of England on July 1</w:t>
      </w:r>
      <w:r w:rsidRPr="00AA720A">
        <w:rPr>
          <w:vertAlign w:val="superscript"/>
        </w:rPr>
        <w:t>st</w:t>
      </w:r>
      <w:r w:rsidRPr="00AA720A">
        <w:t xml:space="preserve">, 2015. </w:t>
      </w:r>
    </w:p>
    <w:p w14:paraId="26C05998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3C39E965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  <w:r w:rsidRPr="00AA720A">
        <w:rPr>
          <w:b/>
          <w:i/>
          <w:noProof/>
        </w:rPr>
        <w:drawing>
          <wp:inline distT="114300" distB="114300" distL="114300" distR="114300" wp14:anchorId="50A0E4B1" wp14:editId="477241B4">
            <wp:extent cx="6114740" cy="2260600"/>
            <wp:effectExtent l="0" t="0" r="0" b="0"/>
            <wp:docPr id="2118510633" name="image1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png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2260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4BBA4FB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>Fig. S.3.2.</w:t>
      </w:r>
      <w:r w:rsidRPr="00AA720A">
        <w:t xml:space="preserve"> Modeled O₃ mixing ratio contributions to total O₃ from the UK (colored contours), wind vectors, and convergence/divergence (white contours, dashed and solid, respectively) on July 1</w:t>
      </w:r>
      <w:r w:rsidRPr="00AA720A">
        <w:rPr>
          <w:vertAlign w:val="superscript"/>
        </w:rPr>
        <w:t>st</w:t>
      </w:r>
      <w:r w:rsidR="005A41C6" w:rsidRPr="00AA720A">
        <w:t xml:space="preserve"> </w:t>
      </w:r>
      <w:r w:rsidRPr="00AA720A">
        <w:t>at 12:00 (a), 18:00 (b), and July 2</w:t>
      </w:r>
      <w:r w:rsidRPr="00AA720A">
        <w:rPr>
          <w:vertAlign w:val="superscript"/>
        </w:rPr>
        <w:t>nd</w:t>
      </w:r>
      <w:r w:rsidR="005A41C6" w:rsidRPr="00AA720A">
        <w:t xml:space="preserve"> </w:t>
      </w:r>
      <w:r w:rsidRPr="00AA720A">
        <w:t>at 00:00 UTC (c). Black arrows represent 10 m winds, while red arrows indicate the convergence of westerly and easterly winds.</w:t>
      </w:r>
    </w:p>
    <w:p w14:paraId="7DB4EA20" w14:textId="77777777" w:rsidR="008B5C32" w:rsidRPr="00AA720A" w:rsidRDefault="008B5C32"/>
    <w:p w14:paraId="2086CFA1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b/>
          <w:i/>
        </w:rPr>
      </w:pPr>
    </w:p>
    <w:p w14:paraId="6ED80CA8" w14:textId="77777777" w:rsidR="008B5C32" w:rsidRPr="00AA720A" w:rsidRDefault="00517E91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  <w:r w:rsidRPr="00AA720A">
        <w:rPr>
          <w:b/>
          <w:i/>
          <w:noProof/>
        </w:rPr>
        <w:lastRenderedPageBreak/>
        <w:drawing>
          <wp:inline distT="114300" distB="114300" distL="114300" distR="114300" wp14:anchorId="054F6359" wp14:editId="51A2EF59">
            <wp:extent cx="6114740" cy="4279900"/>
            <wp:effectExtent l="0" t="0" r="0" b="0"/>
            <wp:docPr id="2118510629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4279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16A7992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>Fig.  S.3.3.</w:t>
      </w:r>
      <w:r w:rsidRPr="00AA720A">
        <w:t xml:space="preserve"> Curtain plot for O</w:t>
      </w:r>
      <w:r w:rsidRPr="00AA720A">
        <w:rPr>
          <w:vertAlign w:val="subscript"/>
        </w:rPr>
        <w:t>3</w:t>
      </w:r>
      <w:r w:rsidRPr="00AA720A">
        <w:t xml:space="preserve"> mixing ratios (</w:t>
      </w:r>
      <w:proofErr w:type="spellStart"/>
      <w:r w:rsidRPr="00AA720A">
        <w:t>ppbv</w:t>
      </w:r>
      <w:proofErr w:type="spellEnd"/>
      <w:r w:rsidRPr="00AA720A">
        <w:t xml:space="preserve">) from the FRA region and process tendencies </w:t>
      </w:r>
      <w:r w:rsidR="005A41C6" w:rsidRPr="00AA720A">
        <w:t>from June 30</w:t>
      </w:r>
      <w:r w:rsidR="005A41C6" w:rsidRPr="00AA720A">
        <w:rPr>
          <w:vertAlign w:val="superscript"/>
        </w:rPr>
        <w:t>th</w:t>
      </w:r>
      <w:r w:rsidR="005A41C6" w:rsidRPr="00AA720A">
        <w:t xml:space="preserve"> to July 4</w:t>
      </w:r>
      <w:r w:rsidR="005A41C6" w:rsidRPr="00AA720A">
        <w:rPr>
          <w:vertAlign w:val="superscript"/>
        </w:rPr>
        <w:t>th</w:t>
      </w:r>
      <w:r w:rsidR="005A41C6" w:rsidRPr="00AA720A">
        <w:t xml:space="preserve"> 2015 </w:t>
      </w:r>
      <w:r w:rsidRPr="00AA720A">
        <w:t>at four sites across the East of England. Panel (a) depicts the total O</w:t>
      </w:r>
      <w:r w:rsidRPr="00AA720A">
        <w:rPr>
          <w:vertAlign w:val="subscript"/>
        </w:rPr>
        <w:t>3</w:t>
      </w:r>
      <w:r w:rsidRPr="00AA720A">
        <w:t xml:space="preserve"> mixing ratios, (b) the rate of change in O</w:t>
      </w:r>
      <w:r w:rsidRPr="00AA720A">
        <w:rPr>
          <w:vertAlign w:val="subscript"/>
        </w:rPr>
        <w:t>3</w:t>
      </w:r>
      <w:r w:rsidRPr="00AA720A">
        <w:t>, (c) the contribution from advection, (d) the vertical mixing, and (e) the O</w:t>
      </w:r>
      <w:r w:rsidRPr="00AA720A">
        <w:rPr>
          <w:vertAlign w:val="subscript"/>
        </w:rPr>
        <w:t>3</w:t>
      </w:r>
      <w:r w:rsidRPr="00AA720A">
        <w:t xml:space="preserve"> chemical tendency. The black line shows the evolution of the planetary boundary layer height (PBL).</w:t>
      </w:r>
    </w:p>
    <w:p w14:paraId="1CC6CFA6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</w:p>
    <w:p w14:paraId="1218E5A7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</w:p>
    <w:p w14:paraId="602F030B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</w:p>
    <w:p w14:paraId="0694B2DD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  <w:r w:rsidRPr="00AA720A">
        <w:rPr>
          <w:noProof/>
        </w:rPr>
        <w:lastRenderedPageBreak/>
        <w:drawing>
          <wp:inline distT="114300" distB="114300" distL="114300" distR="114300" wp14:anchorId="72C51500" wp14:editId="0DC3A1E1">
            <wp:extent cx="6114740" cy="4318000"/>
            <wp:effectExtent l="0" t="0" r="0" b="0"/>
            <wp:docPr id="2118510615" name="image1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6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4318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19E710D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>Fig.  S.3.4.</w:t>
      </w:r>
      <w:r w:rsidRPr="00AA720A">
        <w:t xml:space="preserve"> Curtain plot for O</w:t>
      </w:r>
      <w:r w:rsidRPr="00AA720A">
        <w:rPr>
          <w:vertAlign w:val="subscript"/>
        </w:rPr>
        <w:t>3</w:t>
      </w:r>
      <w:r w:rsidRPr="00AA720A">
        <w:t xml:space="preserve"> mixing ratios (</w:t>
      </w:r>
      <w:proofErr w:type="spellStart"/>
      <w:r w:rsidRPr="00AA720A">
        <w:t>ppbv</w:t>
      </w:r>
      <w:proofErr w:type="spellEnd"/>
      <w:r w:rsidRPr="00AA720A">
        <w:t xml:space="preserve">) from the UK region and process tendencies </w:t>
      </w:r>
      <w:r w:rsidR="005A41C6" w:rsidRPr="00AA720A">
        <w:t>from June 30</w:t>
      </w:r>
      <w:r w:rsidR="005A41C6" w:rsidRPr="00AA720A">
        <w:rPr>
          <w:vertAlign w:val="superscript"/>
        </w:rPr>
        <w:t>th</w:t>
      </w:r>
      <w:r w:rsidR="005A41C6" w:rsidRPr="00AA720A">
        <w:t xml:space="preserve"> to July 4</w:t>
      </w:r>
      <w:r w:rsidR="005A41C6" w:rsidRPr="00AA720A">
        <w:rPr>
          <w:vertAlign w:val="superscript"/>
        </w:rPr>
        <w:t>th</w:t>
      </w:r>
      <w:r w:rsidR="005A41C6" w:rsidRPr="00AA720A">
        <w:t xml:space="preserve"> 2015 </w:t>
      </w:r>
      <w:r w:rsidRPr="00AA720A">
        <w:t>at four sites across the East of England. Panel (a) depicts the total O</w:t>
      </w:r>
      <w:r w:rsidRPr="00AA720A">
        <w:rPr>
          <w:vertAlign w:val="subscript"/>
        </w:rPr>
        <w:t>3</w:t>
      </w:r>
      <w:r w:rsidRPr="00AA720A">
        <w:t xml:space="preserve"> mixing ratios, (b) the rate of change in O</w:t>
      </w:r>
      <w:r w:rsidRPr="00AA720A">
        <w:rPr>
          <w:vertAlign w:val="subscript"/>
        </w:rPr>
        <w:t>3</w:t>
      </w:r>
      <w:r w:rsidRPr="00AA720A">
        <w:t>, (c) the contribution from advection, (d) the vertical mixing, and (e) the O</w:t>
      </w:r>
      <w:r w:rsidRPr="00AA720A">
        <w:rPr>
          <w:vertAlign w:val="subscript"/>
        </w:rPr>
        <w:t>3</w:t>
      </w:r>
      <w:r w:rsidRPr="00AA720A">
        <w:t xml:space="preserve"> chemical tendency. The black line shows the evolution of the planetary boundary layer height (PBL).</w:t>
      </w:r>
    </w:p>
    <w:p w14:paraId="0663AC02" w14:textId="77777777" w:rsidR="008B5C32" w:rsidRPr="00AA720A" w:rsidRDefault="008B5C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</w:p>
    <w:p w14:paraId="38CA899D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  <w:r w:rsidRPr="00AA720A">
        <w:rPr>
          <w:noProof/>
        </w:rPr>
        <w:lastRenderedPageBreak/>
        <w:drawing>
          <wp:inline distT="114300" distB="114300" distL="114300" distR="114300" wp14:anchorId="2525F867" wp14:editId="3CB73BB8">
            <wp:extent cx="6114740" cy="4292600"/>
            <wp:effectExtent l="0" t="0" r="0" b="0"/>
            <wp:docPr id="2118510624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4292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D0E316A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>Fig.  S.3.5.</w:t>
      </w:r>
      <w:r w:rsidRPr="00AA720A">
        <w:t xml:space="preserve"> Curtain plot for O</w:t>
      </w:r>
      <w:r w:rsidRPr="00AA720A">
        <w:rPr>
          <w:vertAlign w:val="subscript"/>
        </w:rPr>
        <w:t>3</w:t>
      </w:r>
      <w:r w:rsidRPr="00AA720A">
        <w:t xml:space="preserve"> mixing ratios (</w:t>
      </w:r>
      <w:proofErr w:type="spellStart"/>
      <w:r w:rsidRPr="00AA720A">
        <w:t>ppbv</w:t>
      </w:r>
      <w:proofErr w:type="spellEnd"/>
      <w:r w:rsidRPr="00AA720A">
        <w:t xml:space="preserve">) from the BENELUX region and process tendencies </w:t>
      </w:r>
      <w:r w:rsidR="005A41C6" w:rsidRPr="00AA720A">
        <w:t>from June 30</w:t>
      </w:r>
      <w:r w:rsidR="005A41C6" w:rsidRPr="00AA720A">
        <w:rPr>
          <w:vertAlign w:val="superscript"/>
        </w:rPr>
        <w:t>th</w:t>
      </w:r>
      <w:r w:rsidR="005A41C6" w:rsidRPr="00AA720A">
        <w:t xml:space="preserve"> to July 4</w:t>
      </w:r>
      <w:r w:rsidR="005A41C6" w:rsidRPr="00AA720A">
        <w:rPr>
          <w:vertAlign w:val="superscript"/>
        </w:rPr>
        <w:t>th</w:t>
      </w:r>
      <w:r w:rsidR="005A41C6" w:rsidRPr="00AA720A">
        <w:t xml:space="preserve"> 2015 </w:t>
      </w:r>
      <w:r w:rsidRPr="00AA720A">
        <w:t>at four sites across the East of England. Panel (a) depicts the total O</w:t>
      </w:r>
      <w:r w:rsidRPr="00AA720A">
        <w:rPr>
          <w:vertAlign w:val="subscript"/>
        </w:rPr>
        <w:t>3</w:t>
      </w:r>
      <w:r w:rsidRPr="00AA720A">
        <w:t xml:space="preserve"> mixing ratios, (b) the rate of change in O</w:t>
      </w:r>
      <w:r w:rsidRPr="00AA720A">
        <w:rPr>
          <w:vertAlign w:val="subscript"/>
        </w:rPr>
        <w:t>3</w:t>
      </w:r>
      <w:r w:rsidRPr="00AA720A">
        <w:t>, (c) the contribution from advection, (d) the vertical mixing, and (e) the O</w:t>
      </w:r>
      <w:r w:rsidRPr="00AA720A">
        <w:rPr>
          <w:vertAlign w:val="subscript"/>
        </w:rPr>
        <w:t>3</w:t>
      </w:r>
      <w:r w:rsidRPr="00AA720A">
        <w:t xml:space="preserve"> chemical tendency. The black line shows the evolution of the planetary boundary layer height (PBL).</w:t>
      </w:r>
    </w:p>
    <w:p w14:paraId="348A8022" w14:textId="77777777" w:rsidR="008B5C32" w:rsidRPr="00AA720A" w:rsidRDefault="008B5C32">
      <w:pPr>
        <w:spacing w:line="276" w:lineRule="auto"/>
        <w:jc w:val="both"/>
      </w:pPr>
    </w:p>
    <w:p w14:paraId="40625CE9" w14:textId="77777777" w:rsidR="008B5C32" w:rsidRPr="00AA720A" w:rsidRDefault="008B5C32">
      <w:pPr>
        <w:spacing w:line="276" w:lineRule="auto"/>
        <w:jc w:val="both"/>
      </w:pPr>
    </w:p>
    <w:p w14:paraId="18933834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  <w:r w:rsidRPr="00AA720A">
        <w:rPr>
          <w:noProof/>
        </w:rPr>
        <w:lastRenderedPageBreak/>
        <w:drawing>
          <wp:inline distT="114300" distB="114300" distL="114300" distR="114300" wp14:anchorId="5C7AD370" wp14:editId="6F0E6878">
            <wp:extent cx="6114740" cy="4356100"/>
            <wp:effectExtent l="0" t="0" r="0" b="0"/>
            <wp:docPr id="2118510626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4356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2DFE965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>Fig.  S.3.6.</w:t>
      </w:r>
      <w:r w:rsidRPr="00AA720A">
        <w:t xml:space="preserve"> Curtain plot for O</w:t>
      </w:r>
      <w:r w:rsidRPr="00AA720A">
        <w:rPr>
          <w:vertAlign w:val="subscript"/>
        </w:rPr>
        <w:t>3</w:t>
      </w:r>
      <w:r w:rsidRPr="00AA720A">
        <w:t xml:space="preserve"> mixing ratios (</w:t>
      </w:r>
      <w:proofErr w:type="spellStart"/>
      <w:r w:rsidRPr="00AA720A">
        <w:t>ppbv</w:t>
      </w:r>
      <w:proofErr w:type="spellEnd"/>
      <w:r w:rsidRPr="00AA720A">
        <w:t xml:space="preserve">) from the NOS region and process tendencies </w:t>
      </w:r>
      <w:r w:rsidR="005A41C6" w:rsidRPr="00AA720A">
        <w:t>from June 30</w:t>
      </w:r>
      <w:r w:rsidR="005A41C6" w:rsidRPr="00AA720A">
        <w:rPr>
          <w:vertAlign w:val="superscript"/>
        </w:rPr>
        <w:t>th</w:t>
      </w:r>
      <w:r w:rsidR="005A41C6" w:rsidRPr="00AA720A">
        <w:t xml:space="preserve"> to July 4</w:t>
      </w:r>
      <w:r w:rsidR="005A41C6" w:rsidRPr="00AA720A">
        <w:rPr>
          <w:vertAlign w:val="superscript"/>
        </w:rPr>
        <w:t>th</w:t>
      </w:r>
      <w:r w:rsidR="005A41C6" w:rsidRPr="00AA720A">
        <w:t xml:space="preserve"> 2015 </w:t>
      </w:r>
      <w:r w:rsidRPr="00AA720A">
        <w:t>at four sites across the East of England Panel (a) depicts the total O</w:t>
      </w:r>
      <w:r w:rsidRPr="00AA720A">
        <w:rPr>
          <w:vertAlign w:val="subscript"/>
        </w:rPr>
        <w:t>3</w:t>
      </w:r>
      <w:r w:rsidRPr="00AA720A">
        <w:t xml:space="preserve"> mixing ratios, (b) the rate of change in O</w:t>
      </w:r>
      <w:r w:rsidRPr="00AA720A">
        <w:rPr>
          <w:vertAlign w:val="subscript"/>
        </w:rPr>
        <w:t>3</w:t>
      </w:r>
      <w:r w:rsidRPr="00AA720A">
        <w:t>, (c) contribution from advection, (d) the vertical mixing, (e) O</w:t>
      </w:r>
      <w:r w:rsidRPr="00AA720A">
        <w:rPr>
          <w:vertAlign w:val="subscript"/>
        </w:rPr>
        <w:t>3</w:t>
      </w:r>
      <w:r w:rsidRPr="00AA720A">
        <w:t xml:space="preserve"> chemical tendency. The black line shows the evolution of the planetary boundary layer height (PBL).</w:t>
      </w:r>
    </w:p>
    <w:p w14:paraId="4309C4F9" w14:textId="77777777" w:rsidR="008B5C32" w:rsidRPr="00AA720A" w:rsidRDefault="008B5C32">
      <w:pPr>
        <w:spacing w:line="276" w:lineRule="auto"/>
        <w:jc w:val="both"/>
      </w:pPr>
    </w:p>
    <w:p w14:paraId="68D652E8" w14:textId="77777777" w:rsidR="008B5C32" w:rsidRPr="00AA720A" w:rsidRDefault="00517E91">
      <w:pPr>
        <w:spacing w:line="276" w:lineRule="auto"/>
        <w:jc w:val="both"/>
      </w:pPr>
      <w:r w:rsidRPr="00AA720A">
        <w:rPr>
          <w:noProof/>
        </w:rPr>
        <w:lastRenderedPageBreak/>
        <w:drawing>
          <wp:inline distT="114300" distB="114300" distL="114300" distR="114300" wp14:anchorId="16CABC4E" wp14:editId="7AA6C7C9">
            <wp:extent cx="6114740" cy="4305300"/>
            <wp:effectExtent l="0" t="0" r="0" b="0"/>
            <wp:docPr id="2118510617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4305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1376EF1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>Fig. S.3.7.</w:t>
      </w:r>
      <w:r w:rsidRPr="00AA720A">
        <w:t xml:space="preserve"> Curtain plot for O</w:t>
      </w:r>
      <w:r w:rsidRPr="00AA720A">
        <w:rPr>
          <w:vertAlign w:val="subscript"/>
        </w:rPr>
        <w:t>3</w:t>
      </w:r>
      <w:r w:rsidRPr="00AA720A">
        <w:t xml:space="preserve"> mixing ratios (</w:t>
      </w:r>
      <w:proofErr w:type="spellStart"/>
      <w:r w:rsidRPr="00AA720A">
        <w:t>ppbv</w:t>
      </w:r>
      <w:proofErr w:type="spellEnd"/>
      <w:r w:rsidRPr="00AA720A">
        <w:t xml:space="preserve">) from the GER region and process tendencies </w:t>
      </w:r>
      <w:r w:rsidR="005A41C6" w:rsidRPr="00AA720A">
        <w:t>from June 30</w:t>
      </w:r>
      <w:r w:rsidR="005A41C6" w:rsidRPr="00AA720A">
        <w:rPr>
          <w:vertAlign w:val="superscript"/>
        </w:rPr>
        <w:t>th</w:t>
      </w:r>
      <w:r w:rsidR="005A41C6" w:rsidRPr="00AA720A">
        <w:t xml:space="preserve"> to July 4</w:t>
      </w:r>
      <w:r w:rsidR="005A41C6" w:rsidRPr="00AA720A">
        <w:rPr>
          <w:vertAlign w:val="superscript"/>
        </w:rPr>
        <w:t>th</w:t>
      </w:r>
      <w:r w:rsidR="005A41C6" w:rsidRPr="00AA720A">
        <w:t xml:space="preserve"> 2015 </w:t>
      </w:r>
      <w:r w:rsidRPr="00AA720A">
        <w:t>at four sites across the East of England. Panel (a) depicts the total O</w:t>
      </w:r>
      <w:r w:rsidRPr="00AA720A">
        <w:rPr>
          <w:vertAlign w:val="subscript"/>
        </w:rPr>
        <w:t>3</w:t>
      </w:r>
      <w:r w:rsidRPr="00AA720A">
        <w:t xml:space="preserve"> mixing ratios, (b) the rate of change in O</w:t>
      </w:r>
      <w:r w:rsidRPr="00AA720A">
        <w:rPr>
          <w:vertAlign w:val="subscript"/>
        </w:rPr>
        <w:t>3</w:t>
      </w:r>
      <w:r w:rsidRPr="00AA720A">
        <w:t>, (c) the contribution from advection, (d) the vertical mixing, and (e) the O</w:t>
      </w:r>
      <w:r w:rsidRPr="00AA720A">
        <w:rPr>
          <w:vertAlign w:val="subscript"/>
        </w:rPr>
        <w:t>3</w:t>
      </w:r>
      <w:r w:rsidRPr="00AA720A">
        <w:t xml:space="preserve"> chemical tendency. The black line shows the evolution of the planetary boundary layer height (PBL).</w:t>
      </w:r>
    </w:p>
    <w:p w14:paraId="46A7D32A" w14:textId="77777777" w:rsidR="008B5C32" w:rsidRPr="00AA720A" w:rsidRDefault="008B5C32">
      <w:pPr>
        <w:spacing w:line="276" w:lineRule="auto"/>
        <w:jc w:val="both"/>
      </w:pPr>
    </w:p>
    <w:p w14:paraId="2F5CD444" w14:textId="77777777" w:rsidR="008B5C32" w:rsidRPr="00AA720A" w:rsidRDefault="008B5C32">
      <w:pPr>
        <w:spacing w:line="276" w:lineRule="auto"/>
        <w:jc w:val="both"/>
      </w:pPr>
    </w:p>
    <w:p w14:paraId="17480A20" w14:textId="77777777" w:rsidR="008B5C32" w:rsidRPr="00AA720A" w:rsidRDefault="00517E91">
      <w:pPr>
        <w:spacing w:line="276" w:lineRule="auto"/>
        <w:jc w:val="both"/>
        <w:rPr>
          <w:b/>
          <w:i/>
        </w:rPr>
      </w:pPr>
      <w:r w:rsidRPr="00AA720A">
        <w:rPr>
          <w:b/>
          <w:i/>
          <w:noProof/>
        </w:rPr>
        <w:lastRenderedPageBreak/>
        <w:drawing>
          <wp:inline distT="114300" distB="114300" distL="114300" distR="114300" wp14:anchorId="6B4B66D9" wp14:editId="46B58459">
            <wp:extent cx="6114740" cy="3124200"/>
            <wp:effectExtent l="0" t="0" r="0" b="0"/>
            <wp:docPr id="2118510619" name="image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 preferRelativeResize="0"/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3124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1B923CC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>Fig. S.3.8.</w:t>
      </w:r>
      <w:r w:rsidRPr="00AA720A">
        <w:t xml:space="preserve"> Time series of entrainment velocity (red) and O₃ entrainment flux (ppb h⁻¹, blue) at the top of the PBL at four sites in the East of England </w:t>
      </w:r>
      <w:r w:rsidR="005A41C6" w:rsidRPr="00AA720A">
        <w:t>from June 30</w:t>
      </w:r>
      <w:r w:rsidR="005A41C6" w:rsidRPr="00AA720A">
        <w:rPr>
          <w:vertAlign w:val="superscript"/>
        </w:rPr>
        <w:t>th</w:t>
      </w:r>
      <w:r w:rsidR="005A41C6" w:rsidRPr="00AA720A">
        <w:t xml:space="preserve"> to July 4</w:t>
      </w:r>
      <w:r w:rsidR="005A41C6" w:rsidRPr="00AA720A">
        <w:rPr>
          <w:vertAlign w:val="superscript"/>
        </w:rPr>
        <w:t>th</w:t>
      </w:r>
      <w:r w:rsidR="005A41C6" w:rsidRPr="00AA720A">
        <w:t xml:space="preserve"> 2015</w:t>
      </w:r>
      <w:r w:rsidRPr="00AA720A">
        <w:t xml:space="preserve">. </w:t>
      </w:r>
    </w:p>
    <w:p w14:paraId="769F2F75" w14:textId="77777777" w:rsidR="005A41C6" w:rsidRPr="00AA720A" w:rsidRDefault="005A41C6">
      <w:pPr>
        <w:spacing w:line="276" w:lineRule="auto"/>
        <w:jc w:val="both"/>
      </w:pPr>
    </w:p>
    <w:p w14:paraId="53ECA05A" w14:textId="77777777" w:rsidR="008B5C32" w:rsidRPr="00AA720A" w:rsidRDefault="00517E91">
      <w:pPr>
        <w:spacing w:line="276" w:lineRule="auto"/>
        <w:jc w:val="both"/>
      </w:pPr>
      <w:r w:rsidRPr="00AA720A">
        <w:rPr>
          <w:noProof/>
        </w:rPr>
        <w:drawing>
          <wp:inline distT="114300" distB="114300" distL="114300" distR="114300" wp14:anchorId="3CA32B5D" wp14:editId="5AC3713D">
            <wp:extent cx="6114740" cy="2921000"/>
            <wp:effectExtent l="0" t="0" r="0" b="0"/>
            <wp:docPr id="2118510627" name="image1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7.png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2921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7D0787C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>Fig. S.3.9.</w:t>
      </w:r>
      <w:r w:rsidRPr="00AA720A">
        <w:t xml:space="preserve"> Daily contributions of advection, vertical mixing, and chemistry (production and loss) to the O₃ rate of change at four sites in the East of England </w:t>
      </w:r>
      <w:r w:rsidR="005A41C6" w:rsidRPr="00AA720A">
        <w:t>from June 30</w:t>
      </w:r>
      <w:r w:rsidR="005A41C6" w:rsidRPr="00AA720A">
        <w:rPr>
          <w:vertAlign w:val="superscript"/>
        </w:rPr>
        <w:t>th</w:t>
      </w:r>
      <w:r w:rsidR="005A41C6" w:rsidRPr="00AA720A">
        <w:t xml:space="preserve"> to July 4</w:t>
      </w:r>
      <w:r w:rsidR="005A41C6" w:rsidRPr="00AA720A">
        <w:rPr>
          <w:vertAlign w:val="superscript"/>
        </w:rPr>
        <w:t>th</w:t>
      </w:r>
      <w:r w:rsidR="005A41C6" w:rsidRPr="00AA720A">
        <w:t xml:space="preserve"> 2015</w:t>
      </w:r>
      <w:r w:rsidRPr="00AA720A">
        <w:t>.</w:t>
      </w:r>
    </w:p>
    <w:p w14:paraId="53AAF414" w14:textId="77777777" w:rsidR="008B5C32" w:rsidRPr="00AA720A" w:rsidRDefault="008B5C32">
      <w:pPr>
        <w:spacing w:line="276" w:lineRule="auto"/>
        <w:jc w:val="both"/>
      </w:pPr>
    </w:p>
    <w:p w14:paraId="60628499" w14:textId="77777777" w:rsidR="008B5C32" w:rsidRPr="00AA720A" w:rsidRDefault="008B5C32">
      <w:pPr>
        <w:spacing w:line="276" w:lineRule="auto"/>
        <w:jc w:val="both"/>
      </w:pPr>
    </w:p>
    <w:p w14:paraId="3E85B98C" w14:textId="77777777" w:rsidR="008B5C32" w:rsidRPr="00AA720A" w:rsidRDefault="00517E91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  <w:r w:rsidRPr="00AA720A">
        <w:rPr>
          <w:noProof/>
        </w:rPr>
        <w:lastRenderedPageBreak/>
        <w:drawing>
          <wp:inline distT="114300" distB="114300" distL="114300" distR="114300" wp14:anchorId="16DC24ED" wp14:editId="168163EE">
            <wp:extent cx="6114740" cy="3035300"/>
            <wp:effectExtent l="0" t="0" r="0" b="0"/>
            <wp:docPr id="2118510616" name="image1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 preferRelativeResize="0"/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3035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AA720A">
        <w:rPr>
          <w:b/>
        </w:rPr>
        <w:t xml:space="preserve">Fig. S.3.10. </w:t>
      </w:r>
      <w:r w:rsidRPr="00AA720A">
        <w:t>Time series of near-surface modeled O</w:t>
      </w:r>
      <w:r w:rsidRPr="00AA720A">
        <w:rPr>
          <w:vertAlign w:val="subscript"/>
        </w:rPr>
        <w:t>3</w:t>
      </w:r>
      <w:r w:rsidRPr="00AA720A">
        <w:t xml:space="preserve"> rate of change (</w:t>
      </w:r>
      <w:proofErr w:type="spellStart"/>
      <w:r w:rsidRPr="00AA720A">
        <w:t>ppbv</w:t>
      </w:r>
      <w:proofErr w:type="spellEnd"/>
      <w:r w:rsidRPr="00AA720A">
        <w:t xml:space="preserve"> h-1) and process tendencies from the FRA region from June 30</w:t>
      </w:r>
      <w:r w:rsidRPr="00AA720A">
        <w:rPr>
          <w:vertAlign w:val="superscript"/>
        </w:rPr>
        <w:t>th</w:t>
      </w:r>
      <w:r w:rsidRPr="00AA720A">
        <w:t xml:space="preserve"> to July 3</w:t>
      </w:r>
      <w:r w:rsidRPr="00AA720A">
        <w:rPr>
          <w:vertAlign w:val="superscript"/>
        </w:rPr>
        <w:t>rd</w:t>
      </w:r>
      <w:r w:rsidRPr="00AA720A">
        <w:t xml:space="preserve">, 2015 at four sites in the East of England.  </w:t>
      </w:r>
    </w:p>
    <w:p w14:paraId="2B2C1324" w14:textId="77777777" w:rsidR="008B5C32" w:rsidRPr="00AA720A" w:rsidRDefault="008B5C32">
      <w:pPr>
        <w:spacing w:line="276" w:lineRule="auto"/>
        <w:jc w:val="both"/>
      </w:pPr>
    </w:p>
    <w:p w14:paraId="54E71967" w14:textId="77777777" w:rsidR="008B5C32" w:rsidRPr="00AA720A" w:rsidRDefault="00517E91">
      <w:pPr>
        <w:spacing w:line="276" w:lineRule="auto"/>
        <w:jc w:val="both"/>
      </w:pPr>
      <w:r w:rsidRPr="00AA720A">
        <w:rPr>
          <w:noProof/>
        </w:rPr>
        <w:drawing>
          <wp:inline distT="114300" distB="114300" distL="114300" distR="114300" wp14:anchorId="7CE34E0A" wp14:editId="3735D8C2">
            <wp:extent cx="6114740" cy="3035300"/>
            <wp:effectExtent l="0" t="0" r="0" b="0"/>
            <wp:docPr id="211851063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3035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0C66FA4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 xml:space="preserve">Fig. S.3.11. </w:t>
      </w:r>
      <w:r w:rsidRPr="00AA720A">
        <w:t>Time series of near-surface modeled O</w:t>
      </w:r>
      <w:r w:rsidRPr="00AA720A">
        <w:rPr>
          <w:vertAlign w:val="subscript"/>
        </w:rPr>
        <w:t xml:space="preserve">3 </w:t>
      </w:r>
      <w:r w:rsidRPr="00AA720A">
        <w:t>rate of change (</w:t>
      </w:r>
      <w:proofErr w:type="spellStart"/>
      <w:r w:rsidRPr="00AA720A">
        <w:t>ppbv</w:t>
      </w:r>
      <w:proofErr w:type="spellEnd"/>
      <w:r w:rsidRPr="00AA720A">
        <w:t xml:space="preserve"> h-1) and process tendencies from the UK region </w:t>
      </w:r>
      <w:r w:rsidR="005A41C6" w:rsidRPr="00AA720A">
        <w:t>from June 30</w:t>
      </w:r>
      <w:r w:rsidR="005A41C6" w:rsidRPr="00AA720A">
        <w:rPr>
          <w:vertAlign w:val="superscript"/>
        </w:rPr>
        <w:t>th</w:t>
      </w:r>
      <w:r w:rsidR="005A41C6" w:rsidRPr="00AA720A">
        <w:t xml:space="preserve"> to July 4</w:t>
      </w:r>
      <w:r w:rsidR="005A41C6" w:rsidRPr="00AA720A">
        <w:rPr>
          <w:vertAlign w:val="superscript"/>
        </w:rPr>
        <w:t>th</w:t>
      </w:r>
      <w:r w:rsidR="005A41C6" w:rsidRPr="00AA720A">
        <w:t xml:space="preserve"> 2015</w:t>
      </w:r>
      <w:r w:rsidRPr="00AA720A">
        <w:t xml:space="preserve"> at four sites in the East of England.  </w:t>
      </w:r>
    </w:p>
    <w:p w14:paraId="17B5BDA6" w14:textId="77777777" w:rsidR="008B5C32" w:rsidRPr="00AA720A" w:rsidRDefault="008B5C32">
      <w:pPr>
        <w:spacing w:line="276" w:lineRule="auto"/>
        <w:jc w:val="both"/>
      </w:pPr>
    </w:p>
    <w:p w14:paraId="32393F54" w14:textId="77777777" w:rsidR="008B5C32" w:rsidRPr="00AA720A" w:rsidRDefault="00517E91">
      <w:pPr>
        <w:spacing w:line="276" w:lineRule="auto"/>
        <w:jc w:val="both"/>
      </w:pPr>
      <w:r w:rsidRPr="00AA720A">
        <w:rPr>
          <w:noProof/>
        </w:rPr>
        <w:lastRenderedPageBreak/>
        <w:drawing>
          <wp:inline distT="114300" distB="114300" distL="114300" distR="114300" wp14:anchorId="27C95F86" wp14:editId="7362515F">
            <wp:extent cx="6114740" cy="3009900"/>
            <wp:effectExtent l="0" t="0" r="0" b="0"/>
            <wp:docPr id="2118510634" name="image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5.png"/>
                    <pic:cNvPicPr preferRelativeResize="0"/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3009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93F51EE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 xml:space="preserve">Fig. S.3.12. </w:t>
      </w:r>
      <w:r w:rsidRPr="00AA720A">
        <w:t>Time series of near-surface modeled O</w:t>
      </w:r>
      <w:r w:rsidRPr="00AA720A">
        <w:rPr>
          <w:vertAlign w:val="subscript"/>
        </w:rPr>
        <w:t>3</w:t>
      </w:r>
      <w:r w:rsidRPr="00AA720A">
        <w:t xml:space="preserve"> rate of change (</w:t>
      </w:r>
      <w:proofErr w:type="spellStart"/>
      <w:r w:rsidRPr="00AA720A">
        <w:t>ppbv</w:t>
      </w:r>
      <w:proofErr w:type="spellEnd"/>
      <w:r w:rsidRPr="00AA720A">
        <w:t xml:space="preserve"> h-1) and process tendencies from the BENELUX region </w:t>
      </w:r>
      <w:r w:rsidR="005A41C6" w:rsidRPr="00AA720A">
        <w:t>from June 30</w:t>
      </w:r>
      <w:r w:rsidR="005A41C6" w:rsidRPr="00AA720A">
        <w:rPr>
          <w:vertAlign w:val="superscript"/>
        </w:rPr>
        <w:t>th</w:t>
      </w:r>
      <w:r w:rsidR="005A41C6" w:rsidRPr="00AA720A">
        <w:t xml:space="preserve"> to July 4</w:t>
      </w:r>
      <w:r w:rsidR="005A41C6" w:rsidRPr="00AA720A">
        <w:rPr>
          <w:vertAlign w:val="superscript"/>
        </w:rPr>
        <w:t>th</w:t>
      </w:r>
      <w:r w:rsidR="005A41C6" w:rsidRPr="00AA720A">
        <w:t xml:space="preserve"> 2015</w:t>
      </w:r>
      <w:r w:rsidRPr="00AA720A">
        <w:t xml:space="preserve"> at four sites in the East of England.  </w:t>
      </w:r>
    </w:p>
    <w:p w14:paraId="6D36FE2F" w14:textId="77777777" w:rsidR="008B5C32" w:rsidRPr="00AA720A" w:rsidRDefault="008B5C32">
      <w:pPr>
        <w:spacing w:line="276" w:lineRule="auto"/>
        <w:jc w:val="both"/>
      </w:pPr>
    </w:p>
    <w:p w14:paraId="71C25266" w14:textId="77777777" w:rsidR="008B5C32" w:rsidRPr="00AA720A" w:rsidRDefault="00517E91">
      <w:pPr>
        <w:spacing w:line="276" w:lineRule="auto"/>
        <w:jc w:val="both"/>
      </w:pPr>
      <w:r w:rsidRPr="00AA720A">
        <w:rPr>
          <w:noProof/>
        </w:rPr>
        <w:drawing>
          <wp:inline distT="114300" distB="114300" distL="114300" distR="114300" wp14:anchorId="1DD8A479" wp14:editId="1B2A6C48">
            <wp:extent cx="6114740" cy="3035300"/>
            <wp:effectExtent l="0" t="0" r="0" b="0"/>
            <wp:docPr id="2118510623" name="image2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0.png"/>
                    <pic:cNvPicPr preferRelativeResize="0"/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3035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6E000AD" w14:textId="77777777" w:rsidR="008B5C32" w:rsidRPr="00AA720A" w:rsidRDefault="00517E91">
      <w:pPr>
        <w:spacing w:line="276" w:lineRule="auto"/>
        <w:jc w:val="both"/>
      </w:pPr>
      <w:r w:rsidRPr="00AA720A">
        <w:rPr>
          <w:b/>
        </w:rPr>
        <w:t xml:space="preserve">Fig. S.3.13. </w:t>
      </w:r>
      <w:r w:rsidRPr="00AA720A">
        <w:t>Time series of near-surface modeled O</w:t>
      </w:r>
      <w:r w:rsidRPr="00AA720A">
        <w:rPr>
          <w:vertAlign w:val="subscript"/>
        </w:rPr>
        <w:t>3</w:t>
      </w:r>
      <w:r w:rsidRPr="00AA720A">
        <w:t xml:space="preserve"> rate of change (</w:t>
      </w:r>
      <w:proofErr w:type="spellStart"/>
      <w:r w:rsidRPr="00AA720A">
        <w:t>ppbv</w:t>
      </w:r>
      <w:proofErr w:type="spellEnd"/>
      <w:r w:rsidRPr="00AA720A">
        <w:t xml:space="preserve"> h-1) and process tendencies from the NOS region </w:t>
      </w:r>
      <w:r w:rsidR="005A41C6" w:rsidRPr="00AA720A">
        <w:t>from June 30</w:t>
      </w:r>
      <w:r w:rsidR="005A41C6" w:rsidRPr="00AA720A">
        <w:rPr>
          <w:vertAlign w:val="superscript"/>
        </w:rPr>
        <w:t>th</w:t>
      </w:r>
      <w:r w:rsidR="005A41C6" w:rsidRPr="00AA720A">
        <w:t xml:space="preserve"> to July 4</w:t>
      </w:r>
      <w:r w:rsidR="005A41C6" w:rsidRPr="00AA720A">
        <w:rPr>
          <w:vertAlign w:val="superscript"/>
        </w:rPr>
        <w:t>th</w:t>
      </w:r>
      <w:r w:rsidR="005A41C6" w:rsidRPr="00AA720A">
        <w:t xml:space="preserve"> 2015 </w:t>
      </w:r>
      <w:r w:rsidRPr="00AA720A">
        <w:t xml:space="preserve">at four sites in the East of England.  </w:t>
      </w:r>
    </w:p>
    <w:p w14:paraId="1A86BCCC" w14:textId="77777777" w:rsidR="008B5C32" w:rsidRPr="00AA720A" w:rsidRDefault="008B5C32">
      <w:pPr>
        <w:spacing w:line="276" w:lineRule="auto"/>
        <w:jc w:val="both"/>
      </w:pPr>
    </w:p>
    <w:p w14:paraId="3E05B0AE" w14:textId="77777777" w:rsidR="008B5C32" w:rsidRPr="00AA720A" w:rsidRDefault="00517E91">
      <w:pPr>
        <w:spacing w:line="276" w:lineRule="auto"/>
        <w:jc w:val="both"/>
      </w:pPr>
      <w:r w:rsidRPr="00AA720A">
        <w:rPr>
          <w:noProof/>
        </w:rPr>
        <w:lastRenderedPageBreak/>
        <w:drawing>
          <wp:inline distT="114300" distB="114300" distL="114300" distR="114300" wp14:anchorId="4588D415" wp14:editId="2D3CFFDF">
            <wp:extent cx="6114740" cy="3060700"/>
            <wp:effectExtent l="0" t="0" r="0" b="0"/>
            <wp:docPr id="2118510632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740" cy="3060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B57E37E" w14:textId="77777777" w:rsidR="008B5C32" w:rsidRPr="00AA720A" w:rsidRDefault="00517E91">
      <w:pPr>
        <w:spacing w:line="276" w:lineRule="auto"/>
        <w:jc w:val="both"/>
      </w:pPr>
      <w:bookmarkStart w:id="2" w:name="_heading=h.c3bao1es3w7o" w:colFirst="0" w:colLast="0"/>
      <w:bookmarkEnd w:id="2"/>
      <w:r w:rsidRPr="00AA720A">
        <w:rPr>
          <w:b/>
        </w:rPr>
        <w:t xml:space="preserve">Fig. S.3.14. </w:t>
      </w:r>
      <w:r w:rsidRPr="00AA720A">
        <w:t>Time series of near-surface modeled O</w:t>
      </w:r>
      <w:r w:rsidRPr="00AA720A">
        <w:rPr>
          <w:vertAlign w:val="subscript"/>
        </w:rPr>
        <w:t>3</w:t>
      </w:r>
      <w:r w:rsidRPr="00AA720A">
        <w:t xml:space="preserve"> rate of change (</w:t>
      </w:r>
      <w:proofErr w:type="spellStart"/>
      <w:r w:rsidRPr="00AA720A">
        <w:t>ppbv</w:t>
      </w:r>
      <w:proofErr w:type="spellEnd"/>
      <w:r w:rsidRPr="00AA720A">
        <w:t xml:space="preserve"> h-1) and process tendencies from the GER region </w:t>
      </w:r>
      <w:r w:rsidR="005A41C6" w:rsidRPr="00AA720A">
        <w:t>from June 30</w:t>
      </w:r>
      <w:r w:rsidR="005A41C6" w:rsidRPr="00AA720A">
        <w:rPr>
          <w:vertAlign w:val="superscript"/>
        </w:rPr>
        <w:t>th</w:t>
      </w:r>
      <w:r w:rsidR="005A41C6" w:rsidRPr="00AA720A">
        <w:t xml:space="preserve"> to July 4</w:t>
      </w:r>
      <w:r w:rsidR="005A41C6" w:rsidRPr="00AA720A">
        <w:rPr>
          <w:vertAlign w:val="superscript"/>
        </w:rPr>
        <w:t>th</w:t>
      </w:r>
      <w:r w:rsidR="005A41C6" w:rsidRPr="00AA720A">
        <w:t xml:space="preserve"> 2015</w:t>
      </w:r>
      <w:r w:rsidRPr="00AA720A">
        <w:t xml:space="preserve"> at four sites in the East of England.  </w:t>
      </w:r>
    </w:p>
    <w:p w14:paraId="75BF4245" w14:textId="77777777" w:rsidR="008B5C32" w:rsidRPr="00AA720A" w:rsidRDefault="008B5C32">
      <w:pPr>
        <w:spacing w:line="276" w:lineRule="auto"/>
        <w:jc w:val="both"/>
      </w:pPr>
    </w:p>
    <w:p w14:paraId="455E47AE" w14:textId="77777777" w:rsidR="008B5C32" w:rsidRPr="00AA720A" w:rsidRDefault="008B5C32">
      <w:pPr>
        <w:spacing w:line="276" w:lineRule="auto"/>
        <w:jc w:val="both"/>
      </w:pPr>
      <w:bookmarkStart w:id="3" w:name="_heading=h.lj1r5lfvwoui" w:colFirst="0" w:colLast="0"/>
      <w:bookmarkEnd w:id="3"/>
    </w:p>
    <w:p w14:paraId="4CF0A65E" w14:textId="77777777" w:rsidR="008B5C32" w:rsidRPr="00AA720A" w:rsidRDefault="008B5C32">
      <w:pPr>
        <w:spacing w:line="276" w:lineRule="auto"/>
        <w:jc w:val="both"/>
      </w:pPr>
      <w:bookmarkStart w:id="4" w:name="_heading=h.il665r8ic9g1" w:colFirst="0" w:colLast="0"/>
      <w:bookmarkEnd w:id="4"/>
    </w:p>
    <w:p w14:paraId="472B3AEA" w14:textId="77777777" w:rsidR="008B5C32" w:rsidRPr="00AA720A" w:rsidRDefault="008B5C32">
      <w:pPr>
        <w:spacing w:line="276" w:lineRule="auto"/>
        <w:jc w:val="both"/>
      </w:pPr>
      <w:bookmarkStart w:id="5" w:name="_heading=h.9yuhperz3upi" w:colFirst="0" w:colLast="0"/>
      <w:bookmarkEnd w:id="5"/>
    </w:p>
    <w:p w14:paraId="608009E2" w14:textId="77777777" w:rsidR="008B5C32" w:rsidRPr="00AA720A" w:rsidRDefault="008B5C32">
      <w:pPr>
        <w:spacing w:line="276" w:lineRule="auto"/>
        <w:jc w:val="both"/>
      </w:pPr>
      <w:bookmarkStart w:id="6" w:name="_heading=h.xixwdphx4618" w:colFirst="0" w:colLast="0"/>
      <w:bookmarkEnd w:id="6"/>
    </w:p>
    <w:sectPr w:rsidR="008B5C32" w:rsidRPr="00AA720A" w:rsidSect="00AA720A">
      <w:headerReference w:type="default" r:id="rId27"/>
      <w:footerReference w:type="even" r:id="rId28"/>
      <w:footerReference w:type="default" r:id="rId29"/>
      <w:pgSz w:w="11906" w:h="16838"/>
      <w:pgMar w:top="1138" w:right="1138" w:bottom="1138" w:left="1138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7BF97" w14:textId="77777777" w:rsidR="00517E91" w:rsidRPr="00AA720A" w:rsidRDefault="00517E91">
      <w:r w:rsidRPr="00AA720A">
        <w:separator/>
      </w:r>
    </w:p>
  </w:endnote>
  <w:endnote w:type="continuationSeparator" w:id="0">
    <w:p w14:paraId="451311F1" w14:textId="77777777" w:rsidR="00517E91" w:rsidRPr="00AA720A" w:rsidRDefault="00517E91">
      <w:r w:rsidRPr="00AA720A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erif CJK SC">
    <w:charset w:val="00"/>
    <w:family w:val="roman"/>
    <w:pitch w:val="default"/>
  </w:font>
  <w:font w:name="Lohit Devanagari">
    <w:altName w:val="Times New Roman"/>
    <w:charset w:val="00"/>
    <w:family w:val="roman"/>
    <w:pitch w:val="default"/>
  </w:font>
  <w:font w:name="Droid Sans Fallback">
    <w:charset w:val="00"/>
    <w:family w:val="roman"/>
    <w:pitch w:val="default"/>
  </w:font>
  <w:font w:name="Liberation Serif">
    <w:altName w:val="Times New Roman"/>
    <w:charset w:val="00"/>
    <w:family w:val="roman"/>
    <w:pitch w:val="default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eeSans">
    <w:altName w:val="Cambria"/>
    <w:charset w:val="00"/>
    <w:family w:val="roman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6F036" w14:textId="77777777" w:rsidR="008B5C32" w:rsidRPr="00AA720A" w:rsidRDefault="00517E9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right"/>
      <w:rPr>
        <w:rFonts w:ascii="Calibri" w:eastAsia="Calibri" w:hAnsi="Calibri" w:cs="Calibri"/>
        <w:sz w:val="22"/>
        <w:szCs w:val="22"/>
      </w:rPr>
    </w:pPr>
    <w:r w:rsidRPr="00AA720A">
      <w:rPr>
        <w:rFonts w:ascii="Calibri" w:eastAsia="Calibri" w:hAnsi="Calibri" w:cs="Calibri"/>
        <w:sz w:val="22"/>
        <w:szCs w:val="22"/>
      </w:rPr>
      <w:fldChar w:fldCharType="begin"/>
    </w:r>
    <w:r w:rsidRPr="00AA720A">
      <w:rPr>
        <w:rFonts w:ascii="Calibri" w:eastAsia="Calibri" w:hAnsi="Calibri" w:cs="Calibri"/>
        <w:sz w:val="22"/>
        <w:szCs w:val="22"/>
      </w:rPr>
      <w:instrText>PAGE</w:instrText>
    </w:r>
    <w:r w:rsidRPr="00AA720A">
      <w:rPr>
        <w:rFonts w:ascii="Calibri" w:eastAsia="Calibri" w:hAnsi="Calibri" w:cs="Calibri"/>
        <w:sz w:val="22"/>
        <w:szCs w:val="22"/>
      </w:rPr>
      <w:fldChar w:fldCharType="end"/>
    </w:r>
  </w:p>
  <w:p w14:paraId="245A2D99" w14:textId="77777777" w:rsidR="008B5C32" w:rsidRPr="00AA720A" w:rsidRDefault="008B5C3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ind w:right="360"/>
      <w:rPr>
        <w:rFonts w:ascii="Calibri" w:eastAsia="Calibri" w:hAnsi="Calibri" w:cs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63506" w14:textId="77777777" w:rsidR="008B5C32" w:rsidRPr="00AA720A" w:rsidRDefault="00517E9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right"/>
      <w:rPr>
        <w:rFonts w:ascii="Calibri" w:eastAsia="Calibri" w:hAnsi="Calibri" w:cs="Calibri"/>
        <w:sz w:val="22"/>
        <w:szCs w:val="22"/>
      </w:rPr>
    </w:pPr>
    <w:r w:rsidRPr="00AA720A">
      <w:rPr>
        <w:rFonts w:ascii="Calibri" w:eastAsia="Calibri" w:hAnsi="Calibri" w:cs="Calibri"/>
        <w:sz w:val="22"/>
        <w:szCs w:val="22"/>
      </w:rPr>
      <w:fldChar w:fldCharType="begin"/>
    </w:r>
    <w:r w:rsidRPr="00AA720A">
      <w:rPr>
        <w:rFonts w:ascii="Calibri" w:eastAsia="Calibri" w:hAnsi="Calibri" w:cs="Calibri"/>
        <w:sz w:val="22"/>
        <w:szCs w:val="22"/>
      </w:rPr>
      <w:instrText>PAGE</w:instrText>
    </w:r>
    <w:r w:rsidRPr="00AA720A">
      <w:rPr>
        <w:rFonts w:ascii="Calibri" w:eastAsia="Calibri" w:hAnsi="Calibri" w:cs="Calibri"/>
        <w:sz w:val="22"/>
        <w:szCs w:val="22"/>
      </w:rPr>
      <w:fldChar w:fldCharType="separate"/>
    </w:r>
    <w:r w:rsidR="00AA720A">
      <w:rPr>
        <w:rFonts w:ascii="Calibri" w:eastAsia="Calibri" w:hAnsi="Calibri" w:cs="Calibri"/>
        <w:noProof/>
        <w:sz w:val="22"/>
        <w:szCs w:val="22"/>
      </w:rPr>
      <w:t>13</w:t>
    </w:r>
    <w:r w:rsidRPr="00AA720A">
      <w:rPr>
        <w:rFonts w:ascii="Calibri" w:eastAsia="Calibri" w:hAnsi="Calibri" w:cs="Calibri"/>
        <w:sz w:val="22"/>
        <w:szCs w:val="22"/>
      </w:rPr>
      <w:fldChar w:fldCharType="end"/>
    </w:r>
  </w:p>
  <w:p w14:paraId="1BCD0BBC" w14:textId="77777777" w:rsidR="008B5C32" w:rsidRPr="00AA720A" w:rsidRDefault="008B5C3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ind w:right="360"/>
      <w:jc w:val="right"/>
      <w:rPr>
        <w:rFonts w:ascii="Calibri" w:eastAsia="Calibri" w:hAnsi="Calibri" w:cs="Calibri"/>
        <w:sz w:val="22"/>
        <w:szCs w:val="22"/>
      </w:rPr>
    </w:pPr>
  </w:p>
  <w:p w14:paraId="2447FC26" w14:textId="77777777" w:rsidR="008B5C32" w:rsidRPr="00AA720A" w:rsidRDefault="008B5C32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360" w:lineRule="auto"/>
      <w:ind w:right="360"/>
      <w:jc w:val="both"/>
      <w:rPr>
        <w:rFonts w:ascii="Constantia" w:eastAsia="Constantia" w:hAnsi="Constantia" w:cs="Constant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30EA7A" w14:textId="77777777" w:rsidR="00517E91" w:rsidRPr="00AA720A" w:rsidRDefault="00517E91">
      <w:r w:rsidRPr="00AA720A">
        <w:separator/>
      </w:r>
    </w:p>
  </w:footnote>
  <w:footnote w:type="continuationSeparator" w:id="0">
    <w:p w14:paraId="40AD0336" w14:textId="77777777" w:rsidR="00517E91" w:rsidRPr="00AA720A" w:rsidRDefault="00517E91">
      <w:r w:rsidRPr="00AA720A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A0674" w14:textId="77777777" w:rsidR="008B5C32" w:rsidRPr="00AA720A" w:rsidRDefault="008B5C3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rFonts w:ascii="Calibri" w:eastAsia="Calibri" w:hAnsi="Calibri" w:cs="Calibri"/>
        <w:sz w:val="22"/>
        <w:szCs w:val="22"/>
      </w:rPr>
    </w:pPr>
  </w:p>
  <w:p w14:paraId="5606670E" w14:textId="77777777" w:rsidR="008B5C32" w:rsidRPr="00AA720A" w:rsidRDefault="008B5C32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oNotTrackFormatting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5C32"/>
    <w:rsid w:val="00140AC7"/>
    <w:rsid w:val="003064EE"/>
    <w:rsid w:val="00517E91"/>
    <w:rsid w:val="005A41C6"/>
    <w:rsid w:val="007627FF"/>
    <w:rsid w:val="008B5C32"/>
    <w:rsid w:val="00A512C8"/>
    <w:rsid w:val="00AA7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F80DE"/>
  <w15:docId w15:val="{683E418F-4FA0-DC46-94E7-7C3085055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77C04"/>
  </w:style>
  <w:style w:type="paragraph" w:styleId="berschrift1">
    <w:name w:val="heading 1"/>
    <w:basedOn w:val="Standard"/>
    <w:next w:val="Standard"/>
    <w:link w:val="berschrift1Zchn"/>
    <w:uiPriority w:val="9"/>
    <w:qFormat/>
    <w:rsid w:val="006E0D6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berschrift3">
    <w:name w:val="heading 3"/>
    <w:basedOn w:val="Standard1"/>
    <w:next w:val="Standard1"/>
    <w:link w:val="berschrift3Zchn"/>
    <w:uiPriority w:val="9"/>
    <w:semiHidden/>
    <w:unhideWhenUsed/>
    <w:qFormat/>
    <w:rsid w:val="0001390D"/>
    <w:pPr>
      <w:keepNext/>
      <w:keepLines/>
      <w:spacing w:before="200"/>
      <w:outlineLvl w:val="2"/>
    </w:pPr>
    <w:rPr>
      <w:rFonts w:ascii="Calibri" w:hAnsi="Calibri"/>
      <w:b/>
      <w:bCs/>
      <w:sz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A5E4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eschriftung">
    <w:name w:val="caption"/>
    <w:basedOn w:val="Standard"/>
    <w:next w:val="Standard"/>
    <w:unhideWhenUsed/>
    <w:qFormat/>
    <w:rsid w:val="003A4775"/>
    <w:pPr>
      <w:spacing w:after="200"/>
    </w:pPr>
    <w:rPr>
      <w:rFonts w:asciiTheme="minorHAnsi" w:eastAsia="Droid Sans Fallback" w:hAnsiTheme="minorHAnsi" w:cstheme="minorBidi"/>
      <w:b/>
      <w:bCs/>
      <w:color w:val="5B9BD5" w:themeColor="accent1"/>
      <w:sz w:val="18"/>
      <w:szCs w:val="18"/>
      <w:lang w:val="en-GB" w:eastAsia="zh-CN"/>
    </w:rPr>
  </w:style>
  <w:style w:type="paragraph" w:customStyle="1" w:styleId="Standard1">
    <w:name w:val="Standard1"/>
    <w:qFormat/>
    <w:rsid w:val="004C01EF"/>
    <w:pPr>
      <w:suppressAutoHyphens/>
      <w:autoSpaceDN w:val="0"/>
      <w:textAlignment w:val="baseline"/>
    </w:pPr>
    <w:rPr>
      <w:rFonts w:ascii="Liberation Serif" w:eastAsia="Noto Serif CJK SC" w:hAnsi="Liberation Serif" w:cs="Lohit Devanagari"/>
      <w:kern w:val="3"/>
      <w:lang w:eastAsia="zh-CN" w:bidi="hi-IN"/>
    </w:rPr>
  </w:style>
  <w:style w:type="table" w:styleId="Tabellenraster">
    <w:name w:val="Table Grid"/>
    <w:basedOn w:val="NormaleTabelle"/>
    <w:uiPriority w:val="59"/>
    <w:rsid w:val="003E6811"/>
    <w:rPr>
      <w:rFonts w:eastAsiaTheme="minorEastAsia"/>
      <w:lang w:val="en-GB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63AD7"/>
    <w:pPr>
      <w:autoSpaceDE w:val="0"/>
      <w:autoSpaceDN w:val="0"/>
      <w:adjustRightInd w:val="0"/>
    </w:pPr>
    <w:rPr>
      <w:rFonts w:ascii="Constantia" w:hAnsi="Constantia" w:cs="Constantia"/>
      <w:color w:val="000000"/>
    </w:rPr>
  </w:style>
  <w:style w:type="table" w:customStyle="1" w:styleId="TableGrid1">
    <w:name w:val="Table Grid1"/>
    <w:basedOn w:val="NormaleTabelle"/>
    <w:next w:val="Tabellenraster"/>
    <w:uiPriority w:val="39"/>
    <w:rsid w:val="0038708A"/>
    <w:pPr>
      <w:autoSpaceDN w:val="0"/>
      <w:textAlignment w:val="baseline"/>
    </w:pPr>
    <w:rPr>
      <w:rFonts w:ascii="Liberation Serif" w:eastAsia="Noto Serif CJK SC" w:hAnsi="Liberation Serif" w:cs="Lohit Devanagari"/>
      <w:kern w:val="3"/>
      <w:lang w:eastAsia="zh-CN" w:bidi="hi-I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">
    <w:name w:val="Normal1"/>
    <w:link w:val="Normal1Char"/>
    <w:qFormat/>
    <w:rsid w:val="00A01D61"/>
    <w:pPr>
      <w:widowControl w:val="0"/>
      <w:suppressAutoHyphens/>
      <w:autoSpaceDN w:val="0"/>
      <w:spacing w:line="360" w:lineRule="auto"/>
      <w:jc w:val="both"/>
      <w:textAlignment w:val="baseline"/>
    </w:pPr>
    <w:rPr>
      <w:rFonts w:ascii="Constantia" w:hAnsi="Constantia"/>
      <w:color w:val="00000A"/>
      <w:kern w:val="3"/>
      <w:lang w:eastAsia="zh-CN" w:bidi="hi-IN"/>
    </w:rPr>
  </w:style>
  <w:style w:type="character" w:customStyle="1" w:styleId="KopfzeileZchn">
    <w:name w:val="Kopfzeile Zchn"/>
    <w:basedOn w:val="Absatz-Standardschriftart"/>
    <w:link w:val="Kopfzeile"/>
    <w:uiPriority w:val="99"/>
    <w:qFormat/>
    <w:rsid w:val="00A01D61"/>
  </w:style>
  <w:style w:type="paragraph" w:styleId="Kopfzeile">
    <w:name w:val="header"/>
    <w:basedOn w:val="Standard"/>
    <w:link w:val="KopfzeileZchn"/>
    <w:uiPriority w:val="99"/>
    <w:unhideWhenUsed/>
    <w:rsid w:val="00A01D61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1">
    <w:name w:val="Header Char1"/>
    <w:basedOn w:val="Absatz-Standardschriftart"/>
    <w:uiPriority w:val="99"/>
    <w:semiHidden/>
    <w:rsid w:val="00A01D61"/>
    <w:rPr>
      <w:rFonts w:eastAsia="Droid Sans Fallback"/>
      <w:sz w:val="24"/>
      <w:lang w:val="en-GB" w:eastAsia="zh-CN"/>
    </w:rPr>
  </w:style>
  <w:style w:type="character" w:customStyle="1" w:styleId="FuzeileZchn">
    <w:name w:val="Fußzeile Zchn"/>
    <w:basedOn w:val="Absatz-Standardschriftart"/>
    <w:link w:val="Fuzeile"/>
    <w:uiPriority w:val="99"/>
    <w:qFormat/>
    <w:rsid w:val="00A01D61"/>
  </w:style>
  <w:style w:type="paragraph" w:styleId="Fuzeile">
    <w:name w:val="footer"/>
    <w:basedOn w:val="Standard"/>
    <w:link w:val="FuzeileZchn"/>
    <w:uiPriority w:val="99"/>
    <w:unhideWhenUsed/>
    <w:rsid w:val="00A01D61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FooterChar1">
    <w:name w:val="Footer Char1"/>
    <w:basedOn w:val="Absatz-Standardschriftart"/>
    <w:uiPriority w:val="99"/>
    <w:semiHidden/>
    <w:rsid w:val="00A01D61"/>
    <w:rPr>
      <w:rFonts w:eastAsia="Droid Sans Fallback"/>
      <w:sz w:val="24"/>
      <w:lang w:val="en-GB" w:eastAsia="zh-CN"/>
    </w:rPr>
  </w:style>
  <w:style w:type="character" w:customStyle="1" w:styleId="Normal1Char">
    <w:name w:val="Normal1 Char"/>
    <w:basedOn w:val="Absatz-Standardschriftart"/>
    <w:link w:val="Normal1"/>
    <w:qFormat/>
    <w:rsid w:val="00A01D61"/>
    <w:rPr>
      <w:rFonts w:ascii="Constantia" w:eastAsia="Times New Roman" w:hAnsi="Constantia" w:cs="Times New Roman"/>
      <w:color w:val="00000A"/>
      <w:kern w:val="3"/>
      <w:sz w:val="24"/>
      <w:szCs w:val="24"/>
      <w:lang w:eastAsia="zh-CN" w:bidi="hi-IN"/>
    </w:rPr>
  </w:style>
  <w:style w:type="paragraph" w:styleId="StandardWeb">
    <w:name w:val="Normal (Web)"/>
    <w:basedOn w:val="Standard"/>
    <w:uiPriority w:val="99"/>
    <w:rsid w:val="00F53115"/>
    <w:pPr>
      <w:autoSpaceDN w:val="0"/>
      <w:spacing w:before="100" w:after="100"/>
    </w:pPr>
  </w:style>
  <w:style w:type="character" w:styleId="Hyperlink">
    <w:name w:val="Hyperlink"/>
    <w:basedOn w:val="Absatz-Standardschriftart"/>
    <w:rsid w:val="00F53115"/>
    <w:rPr>
      <w:color w:val="0000FF"/>
      <w:u w:val="single"/>
    </w:rPr>
  </w:style>
  <w:style w:type="character" w:styleId="Hervorhebung">
    <w:name w:val="Emphasis"/>
    <w:basedOn w:val="Absatz-Standardschriftart"/>
    <w:rsid w:val="00F53115"/>
    <w:rPr>
      <w:i/>
      <w:iCs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5311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F53115"/>
    <w:pPr>
      <w:spacing w:after="16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F53115"/>
    <w:rPr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53115"/>
    <w:rPr>
      <w:rFonts w:ascii="Segoe UI" w:eastAsia="Droid Sans Fallback" w:hAnsi="Segoe UI" w:cs="Segoe UI"/>
      <w:sz w:val="18"/>
      <w:szCs w:val="18"/>
      <w:lang w:val="en-GB" w:eastAsia="zh-CN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53115"/>
    <w:rPr>
      <w:rFonts w:ascii="Segoe UI" w:eastAsia="Droid Sans Fallback" w:hAnsi="Segoe UI" w:cs="Segoe UI"/>
      <w:sz w:val="18"/>
      <w:szCs w:val="18"/>
      <w:lang w:val="en-GB"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7422C"/>
    <w:pPr>
      <w:spacing w:after="0"/>
    </w:pPr>
    <w:rPr>
      <w:rFonts w:eastAsia="Droid Sans Fallback"/>
      <w:b/>
      <w:bCs/>
      <w:lang w:val="en-GB" w:eastAsia="zh-CN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7422C"/>
    <w:rPr>
      <w:rFonts w:eastAsia="Droid Sans Fallback"/>
      <w:b/>
      <w:bCs/>
      <w:sz w:val="20"/>
      <w:szCs w:val="20"/>
      <w:lang w:val="en-GB" w:eastAsia="zh-CN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74007E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8A6723"/>
    <w:rPr>
      <w:rFonts w:eastAsia="Droid Sans Fallback"/>
      <w:lang w:val="en-GB" w:eastAsia="zh-CN"/>
    </w:rPr>
  </w:style>
  <w:style w:type="character" w:styleId="BesuchterLink">
    <w:name w:val="FollowedHyperlink"/>
    <w:basedOn w:val="Absatz-Standardschriftart"/>
    <w:uiPriority w:val="99"/>
    <w:semiHidden/>
    <w:unhideWhenUsed/>
    <w:rsid w:val="00EC2C4A"/>
    <w:rPr>
      <w:color w:val="954F72" w:themeColor="followedHyperlink"/>
      <w:u w:val="single"/>
    </w:rPr>
  </w:style>
  <w:style w:type="character" w:customStyle="1" w:styleId="berschrift3Zchn">
    <w:name w:val="Überschrift 3 Zchn"/>
    <w:basedOn w:val="Absatz-Standardschriftart"/>
    <w:link w:val="berschrift3"/>
    <w:rsid w:val="0001390D"/>
    <w:rPr>
      <w:rFonts w:ascii="Calibri" w:eastAsia="Noto Serif CJK SC" w:hAnsi="Calibri" w:cs="Lohit Devanagari"/>
      <w:b/>
      <w:bCs/>
      <w:kern w:val="3"/>
      <w:sz w:val="28"/>
      <w:szCs w:val="24"/>
      <w:lang w:eastAsia="zh-CN" w:bidi="hi-IN"/>
    </w:rPr>
  </w:style>
  <w:style w:type="numbering" w:customStyle="1" w:styleId="WWNum18">
    <w:name w:val="WWNum18"/>
    <w:basedOn w:val="KeineListe"/>
    <w:rsid w:val="0001390D"/>
  </w:style>
  <w:style w:type="character" w:customStyle="1" w:styleId="berschrift1Zchn">
    <w:name w:val="Überschrift 1 Zchn"/>
    <w:basedOn w:val="Absatz-Standardschriftart"/>
    <w:link w:val="berschrift1"/>
    <w:uiPriority w:val="9"/>
    <w:rsid w:val="006E0D6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A5E4E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paragraph" w:styleId="Listenabsatz">
    <w:name w:val="List Paragraph"/>
    <w:basedOn w:val="Standard"/>
    <w:qFormat/>
    <w:rsid w:val="00462DDE"/>
    <w:pPr>
      <w:widowControl w:val="0"/>
      <w:spacing w:after="200"/>
      <w:ind w:left="720"/>
      <w:contextualSpacing/>
      <w:textAlignment w:val="baseline"/>
    </w:pPr>
    <w:rPr>
      <w:rFonts w:ascii="Liberation Serif" w:eastAsia="Droid Sans Fallback" w:hAnsi="Liberation Serif" w:cs="FreeSans"/>
      <w:color w:val="00000A"/>
      <w:lang w:val="en-GB" w:eastAsia="zh-CN" w:bidi="hi-IN"/>
    </w:rPr>
  </w:style>
  <w:style w:type="character" w:styleId="Seitenzahl">
    <w:name w:val="page number"/>
    <w:basedOn w:val="Absatz-Standardschriftart"/>
    <w:uiPriority w:val="99"/>
    <w:semiHidden/>
    <w:unhideWhenUsed/>
    <w:rsid w:val="00301941"/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Zeilennummer">
    <w:name w:val="line number"/>
    <w:basedOn w:val="Absatz-Standardschriftart"/>
    <w:uiPriority w:val="99"/>
    <w:semiHidden/>
    <w:unhideWhenUsed/>
    <w:rsid w:val="005906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header" Target="head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HNgeoJGeI20ApRBLl3lL0gtF/uA==">CgMxLjAyCGguZ2pkZ3hzMgloLjMwajB6bGwyDmguYzNiYW8xZXMzdzdvMg5oLmxqMXI1bGZ2d291aTIOaC5pbDY2NXI4aWM5ZzEyDmguOXl1aHBlcnozdXBpMg5oLnhpeHdkcGh4NDYxODgAciExTk5MRjJpRkNGWklKU3Z6Z18wU3M3M1ljbzh3eE1VRHA=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771</Words>
  <Characters>4863</Characters>
  <Application>Microsoft Office Word</Application>
  <DocSecurity>0</DocSecurity>
  <Lines>40</Lines>
  <Paragraphs>11</Paragraphs>
  <ScaleCrop>false</ScaleCrop>
  <Company/>
  <LinksUpToDate>false</LinksUpToDate>
  <CharactersWithSpaces>5623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V-Group</dc:creator>
  <cp:lastModifiedBy>Friederike Richter</cp:lastModifiedBy>
  <cp:revision>2</cp:revision>
  <dcterms:created xsi:type="dcterms:W3CDTF">2025-06-02T13:58:00Z</dcterms:created>
  <dcterms:modified xsi:type="dcterms:W3CDTF">2025-06-02T13:58:00Z</dcterms:modified>
</cp:coreProperties>
</file>